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8386"/>
      </w:tblGrid>
      <w:tr w:rsidR="007B7BA6" w:rsidRPr="007B7BA6" w:rsidTr="007B7BA6">
        <w:tc>
          <w:tcPr>
            <w:tcW w:w="1405" w:type="dxa"/>
            <w:vAlign w:val="center"/>
          </w:tcPr>
          <w:p w:rsidR="007B7BA6" w:rsidRPr="007B7BA6" w:rsidRDefault="007B7BA6" w:rsidP="007B7BA6">
            <w:pPr>
              <w:spacing w:line="240" w:lineRule="auto"/>
              <w:jc w:val="center"/>
              <w:rPr>
                <w:rFonts w:eastAsia="Calibri" w:cs="Times New Roman"/>
                <w:b/>
                <w:lang w:val="de-DE"/>
              </w:rPr>
            </w:pPr>
            <w:r w:rsidRPr="007B7BA6">
              <w:rPr>
                <w:rFonts w:eastAsia="Calibri" w:cs="Times New Roman"/>
                <w:b/>
                <w:noProof/>
                <w:lang w:eastAsia="ru-RU"/>
              </w:rPr>
              <w:drawing>
                <wp:anchor distT="0" distB="0" distL="114300" distR="114300" simplePos="0" relativeHeight="252063744" behindDoc="0" locked="0" layoutInCell="1" allowOverlap="1" wp14:anchorId="6320ED5B" wp14:editId="013E9D8B">
                  <wp:simplePos x="0" y="0"/>
                  <wp:positionH relativeFrom="column">
                    <wp:posOffset>11430</wp:posOffset>
                  </wp:positionH>
                  <wp:positionV relativeFrom="paragraph">
                    <wp:posOffset>-224790</wp:posOffset>
                  </wp:positionV>
                  <wp:extent cx="617855" cy="899795"/>
                  <wp:effectExtent l="0" t="0" r="0" b="0"/>
                  <wp:wrapNone/>
                  <wp:docPr id="2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9" name="Рисунок 6"/>
                          <pic:cNvPicPr>
                            <a:picLocks noChangeAspect="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2773" r="8759"/>
                          <a:stretch>
                            <a:fillRect/>
                          </a:stretch>
                        </pic:blipFill>
                        <pic:spPr bwMode="auto">
                          <a:xfrm>
                            <a:off x="0" y="0"/>
                            <a:ext cx="617855" cy="89979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8485" w:type="dxa"/>
            <w:vAlign w:val="center"/>
          </w:tcPr>
          <w:p w:rsidR="007B7BA6" w:rsidRPr="007B7BA6" w:rsidRDefault="007B7BA6" w:rsidP="007B7BA6">
            <w:pPr>
              <w:ind w:firstLine="0"/>
              <w:jc w:val="center"/>
              <w:rPr>
                <w:rFonts w:eastAsia="Calibri" w:cs="Times New Roman"/>
                <w:lang w:val="de-DE"/>
              </w:rPr>
            </w:pPr>
            <w:r w:rsidRPr="007B7BA6">
              <w:rPr>
                <w:rFonts w:eastAsia="Calibri" w:cs="Times New Roman"/>
                <w:b/>
                <w:i/>
                <w:color w:val="0033CC"/>
                <w:sz w:val="40"/>
                <w:szCs w:val="32"/>
              </w:rPr>
              <w:t>Н</w:t>
            </w:r>
            <w:r w:rsidRPr="007B7BA6">
              <w:rPr>
                <w:rFonts w:eastAsia="Calibri" w:cs="Times New Roman"/>
                <w:bCs/>
                <w:i/>
                <w:color w:val="0033CC"/>
                <w:sz w:val="40"/>
                <w:szCs w:val="32"/>
              </w:rPr>
              <w:t>аучно-</w:t>
            </w:r>
            <w:r w:rsidRPr="007B7BA6">
              <w:rPr>
                <w:rFonts w:eastAsia="Calibri" w:cs="Times New Roman"/>
                <w:b/>
                <w:i/>
                <w:color w:val="0033CC"/>
                <w:sz w:val="40"/>
                <w:szCs w:val="32"/>
              </w:rPr>
              <w:t>и</w:t>
            </w:r>
            <w:r w:rsidRPr="007B7BA6">
              <w:rPr>
                <w:rFonts w:eastAsia="Calibri" w:cs="Times New Roman"/>
                <w:bCs/>
                <w:i/>
                <w:color w:val="0033CC"/>
                <w:sz w:val="40"/>
                <w:szCs w:val="32"/>
              </w:rPr>
              <w:t>сследовательский</w:t>
            </w:r>
            <w:r w:rsidRPr="007B7BA6">
              <w:rPr>
                <w:rFonts w:eastAsia="Calibri" w:cs="Times New Roman"/>
                <w:color w:val="0033CC"/>
                <w:sz w:val="40"/>
                <w:szCs w:val="32"/>
              </w:rPr>
              <w:t xml:space="preserve"> </w:t>
            </w:r>
            <w:r w:rsidRPr="007B7BA6">
              <w:rPr>
                <w:rFonts w:eastAsia="Calibri" w:cs="Times New Roman"/>
                <w:b/>
                <w:i/>
                <w:color w:val="0033CC"/>
                <w:sz w:val="40"/>
                <w:szCs w:val="32"/>
              </w:rPr>
              <w:t>ц</w:t>
            </w:r>
            <w:r w:rsidRPr="007B7BA6">
              <w:rPr>
                <w:rFonts w:eastAsia="Calibri" w:cs="Times New Roman"/>
                <w:bCs/>
                <w:i/>
                <w:color w:val="0033CC"/>
                <w:sz w:val="40"/>
                <w:szCs w:val="32"/>
              </w:rPr>
              <w:t>ентр</w:t>
            </w:r>
            <w:r w:rsidRPr="007B7BA6">
              <w:rPr>
                <w:rFonts w:eastAsia="Calibri" w:cs="Times New Roman"/>
                <w:bCs/>
                <w:color w:val="0033CC"/>
                <w:sz w:val="40"/>
                <w:szCs w:val="32"/>
              </w:rPr>
              <w:t xml:space="preserve"> </w:t>
            </w:r>
            <w:r w:rsidRPr="007B7BA6">
              <w:rPr>
                <w:rFonts w:eastAsia="Calibri" w:cs="Times New Roman"/>
                <w:b/>
                <w:i/>
                <w:color w:val="CC0000"/>
                <w:sz w:val="48"/>
                <w:szCs w:val="40"/>
              </w:rPr>
              <w:t>Ста</w:t>
            </w:r>
            <w:r w:rsidRPr="007B7BA6">
              <w:rPr>
                <w:rFonts w:eastAsia="Calibri" w:cs="Times New Roman"/>
                <w:b/>
                <w:i/>
                <w:color w:val="0000FF"/>
                <w:sz w:val="48"/>
                <w:szCs w:val="40"/>
              </w:rPr>
              <w:t>Ди</w:t>
            </w:r>
            <w:r w:rsidRPr="007B7BA6">
              <w:rPr>
                <w:rFonts w:eastAsia="Calibri" w:cs="Times New Roman"/>
                <w:b/>
                <w:i/>
                <w:color w:val="CC0000"/>
                <w:sz w:val="48"/>
                <w:szCs w:val="40"/>
              </w:rPr>
              <w:t>О</w:t>
            </w:r>
          </w:p>
        </w:tc>
      </w:tr>
      <w:tr w:rsidR="007B7BA6" w:rsidRPr="007B7BA6" w:rsidTr="007B7BA6">
        <w:trPr>
          <w:trHeight w:val="902"/>
        </w:trPr>
        <w:tc>
          <w:tcPr>
            <w:tcW w:w="9890" w:type="dxa"/>
            <w:gridSpan w:val="2"/>
            <w:vAlign w:val="center"/>
          </w:tcPr>
          <w:p w:rsidR="007B7BA6" w:rsidRPr="007B7BA6" w:rsidRDefault="007B7BA6" w:rsidP="007B7BA6">
            <w:pPr>
              <w:jc w:val="center"/>
              <w:rPr>
                <w:rFonts w:eastAsia="Arial" w:cs="Times New Roman"/>
                <w:i/>
                <w:iCs/>
                <w:szCs w:val="20"/>
              </w:rPr>
            </w:pPr>
            <w:r w:rsidRPr="007B7BA6">
              <w:rPr>
                <w:rFonts w:eastAsia="Arial" w:cs="Times New Roman"/>
                <w:i/>
                <w:iCs/>
                <w:szCs w:val="20"/>
              </w:rPr>
              <w:t xml:space="preserve">Свидетельство СРО «АПОЭК» «Проектировщики оборонного и энергетического комплексов». </w:t>
            </w:r>
          </w:p>
          <w:p w:rsidR="007B7BA6" w:rsidRPr="007B7BA6" w:rsidRDefault="007B7BA6" w:rsidP="007B7BA6">
            <w:pPr>
              <w:jc w:val="center"/>
              <w:rPr>
                <w:rFonts w:eastAsia="Calibri" w:cs="Times New Roman"/>
                <w:i/>
                <w:iCs/>
                <w:szCs w:val="20"/>
              </w:rPr>
            </w:pPr>
            <w:r w:rsidRPr="007B7BA6">
              <w:rPr>
                <w:rFonts w:eastAsia="Arial" w:cs="Times New Roman"/>
                <w:i/>
                <w:iCs/>
                <w:szCs w:val="20"/>
              </w:rPr>
              <w:t>Номер решения о приеме в члены СРО № 06-ПСС-38/2018</w:t>
            </w:r>
            <w:r w:rsidRPr="007B7BA6">
              <w:rPr>
                <w:rFonts w:eastAsia="Calibri" w:cs="Times New Roman"/>
                <w:i/>
                <w:iCs/>
                <w:szCs w:val="20"/>
              </w:rPr>
              <w:t xml:space="preserve"> от 20.06.2018 г.</w:t>
            </w:r>
          </w:p>
          <w:p w:rsidR="007B7BA6" w:rsidRPr="007B7BA6" w:rsidRDefault="007B7BA6" w:rsidP="007B7BA6">
            <w:pPr>
              <w:ind w:left="-141" w:firstLine="283"/>
              <w:rPr>
                <w:rFonts w:eastAsia="Calibri" w:cs="Times New Roman"/>
                <w:u w:val="single"/>
                <w:lang w:val="de-DE"/>
              </w:rPr>
            </w:pPr>
            <w:r w:rsidRPr="007B7BA6">
              <w:rPr>
                <w:rFonts w:eastAsia="Calibri" w:cs="Times New Roman"/>
                <w:b/>
                <w:szCs w:val="20"/>
                <w:u w:val="single"/>
                <w:lang w:val="de-DE"/>
              </w:rPr>
              <w:t xml:space="preserve">123098, </w:t>
            </w:r>
            <w:r w:rsidRPr="007B7BA6">
              <w:rPr>
                <w:rFonts w:eastAsia="Calibri" w:cs="Times New Roman"/>
                <w:b/>
                <w:szCs w:val="20"/>
                <w:u w:val="single"/>
              </w:rPr>
              <w:t>Москва</w:t>
            </w:r>
            <w:r w:rsidRPr="007B7BA6">
              <w:rPr>
                <w:rFonts w:eastAsia="Calibri" w:cs="Times New Roman"/>
                <w:b/>
                <w:szCs w:val="20"/>
                <w:u w:val="single"/>
                <w:lang w:val="de-DE"/>
              </w:rPr>
              <w:t xml:space="preserve">, </w:t>
            </w:r>
            <w:r w:rsidRPr="007B7BA6">
              <w:rPr>
                <w:rFonts w:eastAsia="Calibri" w:cs="Times New Roman"/>
                <w:b/>
                <w:szCs w:val="20"/>
                <w:u w:val="single"/>
              </w:rPr>
              <w:t>пл</w:t>
            </w:r>
            <w:r w:rsidRPr="007B7BA6">
              <w:rPr>
                <w:rFonts w:eastAsia="Calibri" w:cs="Times New Roman"/>
                <w:b/>
                <w:szCs w:val="20"/>
                <w:u w:val="single"/>
                <w:lang w:val="de-DE"/>
              </w:rPr>
              <w:t xml:space="preserve">. </w:t>
            </w:r>
            <w:r w:rsidRPr="007B7BA6">
              <w:rPr>
                <w:rFonts w:eastAsia="Calibri" w:cs="Times New Roman"/>
                <w:b/>
                <w:szCs w:val="20"/>
                <w:u w:val="single"/>
              </w:rPr>
              <w:t>акад</w:t>
            </w:r>
            <w:r w:rsidRPr="007B7BA6">
              <w:rPr>
                <w:rFonts w:eastAsia="Calibri" w:cs="Times New Roman"/>
                <w:b/>
                <w:szCs w:val="20"/>
                <w:u w:val="single"/>
                <w:lang w:val="de-DE"/>
              </w:rPr>
              <w:t xml:space="preserve">. </w:t>
            </w:r>
            <w:r w:rsidRPr="007B7BA6">
              <w:rPr>
                <w:rFonts w:eastAsia="Calibri" w:cs="Times New Roman"/>
                <w:b/>
                <w:szCs w:val="20"/>
                <w:u w:val="single"/>
              </w:rPr>
              <w:t>Курчатова</w:t>
            </w:r>
            <w:r w:rsidRPr="007B7BA6">
              <w:rPr>
                <w:rFonts w:eastAsia="Calibri" w:cs="Times New Roman"/>
                <w:b/>
                <w:szCs w:val="20"/>
                <w:u w:val="single"/>
                <w:lang w:val="de-DE"/>
              </w:rPr>
              <w:t xml:space="preserve">, 1, </w:t>
            </w:r>
            <w:r w:rsidRPr="007B7BA6">
              <w:rPr>
                <w:rFonts w:eastAsia="Calibri" w:cs="Times New Roman"/>
                <w:b/>
                <w:szCs w:val="20"/>
                <w:u w:val="single"/>
              </w:rPr>
              <w:t>т</w:t>
            </w:r>
            <w:r w:rsidRPr="007B7BA6">
              <w:rPr>
                <w:rFonts w:eastAsia="Calibri" w:cs="Times New Roman"/>
                <w:b/>
                <w:szCs w:val="20"/>
                <w:u w:val="single"/>
                <w:lang w:val="de-DE"/>
              </w:rPr>
              <w:t xml:space="preserve">. (499)706-8810, e-mail: </w:t>
            </w:r>
            <w:hyperlink r:id="rId10" w:history="1">
              <w:r w:rsidRPr="007B7BA6">
                <w:rPr>
                  <w:rFonts w:eastAsia="Calibri" w:cs="Times New Roman"/>
                  <w:b/>
                  <w:i/>
                  <w:color w:val="0070C0"/>
                  <w:szCs w:val="20"/>
                  <w:u w:val="single"/>
                  <w:lang w:val="de-DE"/>
                </w:rPr>
                <w:t>stadyo@stadyo.ru</w:t>
              </w:r>
            </w:hyperlink>
            <w:r w:rsidRPr="007B7BA6">
              <w:rPr>
                <w:rFonts w:eastAsia="Calibri" w:cs="Times New Roman"/>
                <w:b/>
                <w:szCs w:val="20"/>
                <w:u w:val="single"/>
                <w:lang w:val="de-DE"/>
              </w:rPr>
              <w:t xml:space="preserve">, Web-site: </w:t>
            </w:r>
            <w:r w:rsidRPr="007B7BA6">
              <w:rPr>
                <w:rFonts w:eastAsia="Calibri" w:cs="Times New Roman"/>
                <w:b/>
                <w:i/>
                <w:color w:val="0070C0"/>
                <w:szCs w:val="20"/>
                <w:u w:val="single"/>
                <w:lang w:val="de-DE"/>
              </w:rPr>
              <w:t>www.stadyo.ru</w:t>
            </w:r>
          </w:p>
        </w:tc>
      </w:tr>
    </w:tbl>
    <w:p w:rsidR="007B7BA6" w:rsidRPr="007B7BA6" w:rsidRDefault="007B7BA6" w:rsidP="007B7BA6">
      <w:pPr>
        <w:autoSpaceDE w:val="0"/>
        <w:autoSpaceDN w:val="0"/>
        <w:spacing w:line="240" w:lineRule="auto"/>
        <w:rPr>
          <w:rFonts w:eastAsia="Times New Roman" w:cs="Times New Roman"/>
          <w:spacing w:val="-3"/>
          <w:szCs w:val="24"/>
          <w:lang w:eastAsia="ru-RU"/>
        </w:rPr>
      </w:pPr>
    </w:p>
    <w:p w:rsidR="007B7BA6" w:rsidRPr="007B7BA6" w:rsidRDefault="007B7BA6" w:rsidP="007B7BA6">
      <w:pPr>
        <w:autoSpaceDE w:val="0"/>
        <w:autoSpaceDN w:val="0"/>
        <w:rPr>
          <w:rFonts w:eastAsia="Times New Roman" w:cs="Times New Roman"/>
          <w:i/>
          <w:spacing w:val="-3"/>
          <w:szCs w:val="24"/>
          <w:lang w:eastAsia="ru-RU"/>
        </w:rPr>
      </w:pPr>
      <w:r w:rsidRPr="007B7BA6">
        <w:rPr>
          <w:rFonts w:eastAsia="Calibri" w:cs="Times New Roman"/>
          <w:sz w:val="22"/>
        </w:rPr>
        <w:t xml:space="preserve">Инв. </w:t>
      </w:r>
      <w:r w:rsidRPr="007B7BA6">
        <w:rPr>
          <w:rFonts w:eastAsia="Calibri" w:cs="Times New Roman"/>
          <w:sz w:val="22"/>
          <w:u w:val="single"/>
        </w:rPr>
        <w:t>№ ПЗ/2020-12-1</w:t>
      </w:r>
      <w:r w:rsidRPr="007B7BA6">
        <w:rPr>
          <w:rFonts w:eastAsia="Calibri" w:cs="Times New Roman"/>
          <w:sz w:val="22"/>
        </w:rPr>
        <w:tab/>
      </w:r>
      <w:r w:rsidRPr="007B7BA6">
        <w:rPr>
          <w:rFonts w:eastAsia="Calibri" w:cs="Times New Roman"/>
          <w:sz w:val="22"/>
        </w:rPr>
        <w:tab/>
      </w:r>
      <w:r w:rsidRPr="007B7BA6">
        <w:rPr>
          <w:rFonts w:eastAsia="Calibri" w:cs="Times New Roman"/>
          <w:sz w:val="22"/>
        </w:rPr>
        <w:tab/>
      </w:r>
      <w:r w:rsidRPr="007B7BA6">
        <w:rPr>
          <w:rFonts w:eastAsia="Calibri" w:cs="Times New Roman"/>
          <w:sz w:val="22"/>
        </w:rPr>
        <w:tab/>
      </w:r>
      <w:r w:rsidRPr="007B7BA6">
        <w:rPr>
          <w:rFonts w:eastAsia="Calibri" w:cs="Times New Roman"/>
          <w:sz w:val="22"/>
        </w:rPr>
        <w:tab/>
      </w:r>
      <w:r w:rsidRPr="007B7BA6">
        <w:rPr>
          <w:rFonts w:eastAsia="Calibri" w:cs="Times New Roman"/>
          <w:sz w:val="22"/>
        </w:rPr>
        <w:tab/>
      </w:r>
      <w:r w:rsidRPr="007B7BA6">
        <w:rPr>
          <w:rFonts w:eastAsia="Calibri" w:cs="Times New Roman"/>
          <w:sz w:val="22"/>
        </w:rPr>
        <w:tab/>
      </w:r>
      <w:r w:rsidRPr="007B7BA6">
        <w:rPr>
          <w:rFonts w:eastAsia="Calibri" w:cs="Times New Roman"/>
          <w:sz w:val="22"/>
        </w:rPr>
        <w:tab/>
      </w:r>
      <w:r w:rsidRPr="007B7BA6">
        <w:rPr>
          <w:rFonts w:eastAsia="Times New Roman" w:cs="Times New Roman"/>
          <w:bCs/>
          <w:i/>
          <w:iCs/>
          <w:spacing w:val="-3"/>
          <w:szCs w:val="24"/>
          <w:lang w:eastAsia="ru-RU"/>
        </w:rPr>
        <w:t>“Утверждаю”</w:t>
      </w:r>
    </w:p>
    <w:p w:rsidR="007B7BA6" w:rsidRPr="007B7BA6" w:rsidRDefault="007B7BA6" w:rsidP="007B7BA6">
      <w:pPr>
        <w:autoSpaceDE w:val="0"/>
        <w:autoSpaceDN w:val="0"/>
        <w:spacing w:line="240" w:lineRule="auto"/>
        <w:jc w:val="right"/>
        <w:rPr>
          <w:rFonts w:eastAsia="Times New Roman" w:cs="Times New Roman"/>
          <w:spacing w:val="-3"/>
          <w:szCs w:val="24"/>
          <w:lang w:eastAsia="ru-RU"/>
        </w:rPr>
      </w:pPr>
      <w:r w:rsidRPr="007B7BA6">
        <w:rPr>
          <w:rFonts w:eastAsia="Times New Roman" w:cs="Times New Roman"/>
          <w:spacing w:val="-3"/>
          <w:szCs w:val="24"/>
          <w:lang w:eastAsia="ru-RU"/>
        </w:rPr>
        <w:t>Генеральный директор ЗАО НИЦ СтаДиО</w:t>
      </w:r>
    </w:p>
    <w:p w:rsidR="007B7BA6" w:rsidRPr="007B7BA6" w:rsidRDefault="007B7BA6" w:rsidP="007B7BA6">
      <w:pPr>
        <w:autoSpaceDE w:val="0"/>
        <w:autoSpaceDN w:val="0"/>
        <w:spacing w:line="240" w:lineRule="auto"/>
        <w:jc w:val="right"/>
        <w:rPr>
          <w:rFonts w:eastAsia="Times New Roman" w:cs="Times New Roman"/>
          <w:spacing w:val="-3"/>
          <w:szCs w:val="24"/>
          <w:lang w:eastAsia="ru-RU"/>
        </w:rPr>
      </w:pPr>
    </w:p>
    <w:p w:rsidR="007B7BA6" w:rsidRPr="007B7BA6" w:rsidRDefault="007B7BA6" w:rsidP="007B7BA6">
      <w:pPr>
        <w:autoSpaceDE w:val="0"/>
        <w:autoSpaceDN w:val="0"/>
        <w:spacing w:line="240" w:lineRule="auto"/>
        <w:rPr>
          <w:rFonts w:eastAsia="Times New Roman" w:cs="Times New Roman"/>
          <w:spacing w:val="-3"/>
          <w:sz w:val="16"/>
          <w:szCs w:val="16"/>
          <w:lang w:eastAsia="ru-RU"/>
        </w:rPr>
      </w:pPr>
    </w:p>
    <w:p w:rsidR="007B7BA6" w:rsidRPr="007B7BA6" w:rsidRDefault="007B7BA6" w:rsidP="007B7BA6">
      <w:pPr>
        <w:autoSpaceDE w:val="0"/>
        <w:autoSpaceDN w:val="0"/>
        <w:spacing w:line="240" w:lineRule="auto"/>
        <w:jc w:val="right"/>
        <w:rPr>
          <w:rFonts w:eastAsia="Times New Roman" w:cs="Times New Roman"/>
          <w:spacing w:val="-3"/>
          <w:szCs w:val="24"/>
          <w:lang w:eastAsia="ru-RU"/>
        </w:rPr>
      </w:pPr>
      <w:r w:rsidRPr="007B7BA6">
        <w:rPr>
          <w:rFonts w:eastAsia="Times New Roman" w:cs="Times New Roman"/>
          <w:spacing w:val="-3"/>
          <w:szCs w:val="24"/>
          <w:lang w:eastAsia="ru-RU"/>
        </w:rPr>
        <w:t>_____________</w:t>
      </w:r>
      <w:r w:rsidRPr="007B7BA6">
        <w:rPr>
          <w:rFonts w:eastAsia="Times New Roman" w:cs="Times New Roman"/>
          <w:b/>
          <w:bCs/>
          <w:i/>
          <w:iCs/>
          <w:spacing w:val="-3"/>
          <w:szCs w:val="24"/>
          <w:lang w:eastAsia="ru-RU"/>
        </w:rPr>
        <w:t>А.М. Белостоцкий</w:t>
      </w:r>
    </w:p>
    <w:p w:rsidR="007B7BA6" w:rsidRPr="007B7BA6" w:rsidRDefault="007B7BA6" w:rsidP="007B7BA6">
      <w:pPr>
        <w:autoSpaceDE w:val="0"/>
        <w:autoSpaceDN w:val="0"/>
        <w:spacing w:line="240" w:lineRule="auto"/>
        <w:jc w:val="right"/>
        <w:rPr>
          <w:rFonts w:eastAsia="Times New Roman" w:cs="Times New Roman"/>
          <w:spacing w:val="-3"/>
          <w:szCs w:val="24"/>
          <w:lang w:eastAsia="ru-RU"/>
        </w:rPr>
      </w:pPr>
      <w:r w:rsidRPr="007B7BA6">
        <w:rPr>
          <w:rFonts w:eastAsia="Times New Roman" w:cs="Times New Roman"/>
          <w:spacing w:val="-3"/>
          <w:szCs w:val="24"/>
          <w:lang w:eastAsia="ru-RU"/>
        </w:rPr>
        <w:t>“___” ___________________2021 г.</w:t>
      </w:r>
    </w:p>
    <w:p w:rsidR="007B7BA6" w:rsidRPr="007B7BA6" w:rsidRDefault="007B7BA6" w:rsidP="007B7BA6">
      <w:pPr>
        <w:autoSpaceDE w:val="0"/>
        <w:autoSpaceDN w:val="0"/>
        <w:spacing w:line="240" w:lineRule="auto"/>
        <w:rPr>
          <w:rFonts w:eastAsia="Times New Roman" w:cs="Times New Roman"/>
          <w:spacing w:val="-3"/>
          <w:szCs w:val="24"/>
          <w:lang w:eastAsia="ru-RU"/>
        </w:rPr>
      </w:pPr>
    </w:p>
    <w:p w:rsidR="007B7BA6" w:rsidRPr="007B7BA6" w:rsidRDefault="007B7BA6" w:rsidP="007B7BA6">
      <w:pPr>
        <w:autoSpaceDE w:val="0"/>
        <w:autoSpaceDN w:val="0"/>
        <w:spacing w:line="240" w:lineRule="auto"/>
        <w:jc w:val="center"/>
        <w:rPr>
          <w:rFonts w:eastAsia="Times New Roman" w:cs="Times New Roman"/>
          <w:b/>
          <w:spacing w:val="-3"/>
          <w:sz w:val="28"/>
          <w:szCs w:val="28"/>
          <w:lang w:eastAsia="ru-RU"/>
        </w:rPr>
      </w:pPr>
    </w:p>
    <w:p w:rsidR="007B7BA6" w:rsidRPr="007B7BA6" w:rsidRDefault="007B7BA6" w:rsidP="007B7BA6">
      <w:pPr>
        <w:autoSpaceDE w:val="0"/>
        <w:autoSpaceDN w:val="0"/>
        <w:spacing w:line="240" w:lineRule="auto"/>
        <w:jc w:val="center"/>
        <w:rPr>
          <w:rFonts w:eastAsia="Times New Roman" w:cs="Times New Roman"/>
          <w:b/>
          <w:spacing w:val="-3"/>
          <w:sz w:val="28"/>
          <w:szCs w:val="28"/>
          <w:lang w:eastAsia="ru-RU"/>
        </w:rPr>
      </w:pPr>
    </w:p>
    <w:p w:rsidR="007B7BA6" w:rsidRPr="007B7BA6" w:rsidRDefault="007B7BA6" w:rsidP="007B7BA6">
      <w:pPr>
        <w:autoSpaceDE w:val="0"/>
        <w:autoSpaceDN w:val="0"/>
        <w:spacing w:line="240" w:lineRule="auto"/>
        <w:jc w:val="center"/>
        <w:rPr>
          <w:rFonts w:eastAsia="Times New Roman" w:cs="Times New Roman"/>
          <w:b/>
          <w:spacing w:val="-3"/>
          <w:sz w:val="28"/>
          <w:szCs w:val="28"/>
          <w:lang w:eastAsia="ru-RU"/>
        </w:rPr>
      </w:pPr>
    </w:p>
    <w:p w:rsidR="007B7BA6" w:rsidRPr="007B7BA6" w:rsidRDefault="007B7BA6" w:rsidP="007B7BA6">
      <w:pPr>
        <w:autoSpaceDE w:val="0"/>
        <w:autoSpaceDN w:val="0"/>
        <w:spacing w:line="240" w:lineRule="auto"/>
        <w:jc w:val="center"/>
        <w:rPr>
          <w:rFonts w:eastAsia="Times New Roman" w:cs="Times New Roman"/>
          <w:b/>
          <w:spacing w:val="-3"/>
          <w:sz w:val="28"/>
          <w:szCs w:val="28"/>
          <w:lang w:eastAsia="ru-RU"/>
        </w:rPr>
      </w:pPr>
    </w:p>
    <w:p w:rsidR="007B7BA6" w:rsidRPr="007B7BA6" w:rsidRDefault="007B7BA6" w:rsidP="007B7BA6">
      <w:pPr>
        <w:autoSpaceDE w:val="0"/>
        <w:autoSpaceDN w:val="0"/>
        <w:spacing w:line="240" w:lineRule="auto"/>
        <w:jc w:val="center"/>
        <w:rPr>
          <w:rFonts w:eastAsia="Times New Roman" w:cs="Times New Roman"/>
          <w:b/>
          <w:spacing w:val="-3"/>
          <w:sz w:val="28"/>
          <w:szCs w:val="28"/>
          <w:lang w:eastAsia="ru-RU"/>
        </w:rPr>
      </w:pPr>
    </w:p>
    <w:p w:rsidR="007B7BA6" w:rsidRPr="007B7BA6" w:rsidRDefault="007B7BA6" w:rsidP="007B7BA6">
      <w:pPr>
        <w:spacing w:line="240" w:lineRule="auto"/>
        <w:jc w:val="center"/>
        <w:rPr>
          <w:rFonts w:eastAsia="Calibri" w:cs="Times New Roman"/>
          <w:b/>
          <w:sz w:val="32"/>
        </w:rPr>
      </w:pPr>
      <w:r w:rsidRPr="007B7BA6">
        <w:rPr>
          <w:rFonts w:eastAsia="Calibri" w:cs="Times New Roman"/>
          <w:b/>
          <w:sz w:val="32"/>
        </w:rPr>
        <w:t>Научно-технический отчет</w:t>
      </w:r>
    </w:p>
    <w:p w:rsidR="007B7BA6" w:rsidRPr="007B7BA6" w:rsidRDefault="007B7BA6" w:rsidP="007B7BA6">
      <w:pPr>
        <w:jc w:val="center"/>
        <w:rPr>
          <w:rFonts w:eastAsia="Calibri" w:cs="Times New Roman"/>
          <w:szCs w:val="24"/>
        </w:rPr>
      </w:pPr>
      <w:r w:rsidRPr="007B7BA6">
        <w:rPr>
          <w:rFonts w:eastAsia="Calibri" w:cs="Times New Roman"/>
          <w:szCs w:val="24"/>
        </w:rPr>
        <w:t>по договору № ПЗ/2020-12 от 11 декабря 2020 года</w:t>
      </w:r>
    </w:p>
    <w:p w:rsidR="007B7BA6" w:rsidRPr="007B7BA6" w:rsidRDefault="007B7BA6" w:rsidP="007B7BA6">
      <w:pPr>
        <w:autoSpaceDE w:val="0"/>
        <w:autoSpaceDN w:val="0"/>
        <w:spacing w:line="240" w:lineRule="auto"/>
        <w:jc w:val="center"/>
        <w:rPr>
          <w:rFonts w:eastAsia="Times New Roman" w:cs="Times New Roman"/>
          <w:b/>
          <w:spacing w:val="-3"/>
          <w:sz w:val="28"/>
          <w:szCs w:val="28"/>
          <w:lang w:eastAsia="ru-RU"/>
        </w:rPr>
      </w:pPr>
      <w:r w:rsidRPr="007B7BA6">
        <w:rPr>
          <w:rFonts w:eastAsia="Times New Roman" w:cs="Times New Roman"/>
          <w:b/>
          <w:spacing w:val="-3"/>
          <w:sz w:val="28"/>
          <w:szCs w:val="28"/>
          <w:lang w:eastAsia="ru-RU"/>
        </w:rPr>
        <w:t>Расчет на устойчивость к прогрессирующему обрушению для реконструкции Объекта (включая Арену и Некапитальные сооружения): «Реконструкция спортивно-концертного комплекса Петербургский», расположенного в квартале, ограниченном проспектом Ю. Гагарина, ул. Кузнецовская, пр. Космонавтов, ул. Бассейная, в целях создания многофункционального спортивно-досугового комплекса»</w:t>
      </w:r>
    </w:p>
    <w:p w:rsidR="007B7BA6" w:rsidRPr="007B7BA6" w:rsidRDefault="007B7BA6" w:rsidP="007B7BA6">
      <w:pPr>
        <w:autoSpaceDE w:val="0"/>
        <w:autoSpaceDN w:val="0"/>
        <w:spacing w:line="240" w:lineRule="auto"/>
        <w:jc w:val="center"/>
        <w:rPr>
          <w:rFonts w:eastAsia="Times New Roman" w:cs="Times New Roman"/>
          <w:spacing w:val="-3"/>
          <w:szCs w:val="24"/>
          <w:lang w:eastAsia="ru-RU"/>
        </w:rPr>
      </w:pPr>
    </w:p>
    <w:p w:rsidR="007B7BA6" w:rsidRPr="007B7BA6" w:rsidRDefault="007B7BA6" w:rsidP="007B7BA6">
      <w:pPr>
        <w:autoSpaceDE w:val="0"/>
        <w:autoSpaceDN w:val="0"/>
        <w:spacing w:line="240" w:lineRule="auto"/>
        <w:jc w:val="center"/>
        <w:rPr>
          <w:rFonts w:eastAsia="Times New Roman" w:cs="Times New Roman"/>
          <w:spacing w:val="-3"/>
          <w:szCs w:val="24"/>
          <w:lang w:eastAsia="ru-RU"/>
        </w:rPr>
      </w:pPr>
    </w:p>
    <w:p w:rsidR="007B7BA6" w:rsidRPr="007B7BA6" w:rsidRDefault="007B7BA6" w:rsidP="007B7BA6">
      <w:pPr>
        <w:tabs>
          <w:tab w:val="left" w:pos="0"/>
        </w:tabs>
        <w:jc w:val="center"/>
        <w:rPr>
          <w:rFonts w:eastAsia="Times New Roman" w:cs="Times New Roman"/>
          <w:spacing w:val="-3"/>
          <w:szCs w:val="24"/>
          <w:lang w:eastAsia="ru-RU"/>
        </w:rPr>
      </w:pPr>
    </w:p>
    <w:p w:rsidR="007B7BA6" w:rsidRPr="007B7BA6" w:rsidRDefault="007B7BA6" w:rsidP="007B7BA6">
      <w:pPr>
        <w:tabs>
          <w:tab w:val="left" w:pos="0"/>
        </w:tabs>
        <w:jc w:val="center"/>
        <w:rPr>
          <w:rFonts w:eastAsia="Times New Roman" w:cs="Times New Roman"/>
          <w:spacing w:val="-3"/>
          <w:szCs w:val="24"/>
          <w:lang w:eastAsia="ru-RU"/>
        </w:rPr>
      </w:pPr>
    </w:p>
    <w:p w:rsidR="007B7BA6" w:rsidRPr="007B7BA6" w:rsidRDefault="007B7BA6" w:rsidP="007B7BA6">
      <w:pPr>
        <w:tabs>
          <w:tab w:val="left" w:pos="0"/>
        </w:tabs>
        <w:jc w:val="center"/>
        <w:rPr>
          <w:rFonts w:eastAsia="Times New Roman" w:cs="Times New Roman"/>
          <w:spacing w:val="-3"/>
          <w:szCs w:val="24"/>
          <w:lang w:eastAsia="ru-RU"/>
        </w:rPr>
      </w:pPr>
    </w:p>
    <w:p w:rsidR="007B7BA6" w:rsidRPr="007B7BA6" w:rsidRDefault="007B7BA6" w:rsidP="007B7BA6">
      <w:pPr>
        <w:spacing w:line="240" w:lineRule="atLeast"/>
        <w:jc w:val="right"/>
        <w:rPr>
          <w:rFonts w:eastAsia="Calibri" w:cs="Times New Roman"/>
        </w:rPr>
      </w:pPr>
      <w:r w:rsidRPr="007B7BA6">
        <w:rPr>
          <w:rFonts w:eastAsia="Calibri" w:cs="Times New Roman"/>
        </w:rPr>
        <w:t>Руководители работы:</w:t>
      </w:r>
    </w:p>
    <w:p w:rsidR="007B7BA6" w:rsidRPr="007B7BA6" w:rsidRDefault="007B7BA6" w:rsidP="007B7BA6">
      <w:pPr>
        <w:spacing w:line="240" w:lineRule="atLeast"/>
        <w:jc w:val="right"/>
        <w:rPr>
          <w:rFonts w:eastAsia="Calibri" w:cs="Times New Roman"/>
        </w:rPr>
      </w:pPr>
      <w:r w:rsidRPr="007B7BA6">
        <w:rPr>
          <w:rFonts w:eastAsia="Calibri" w:cs="Times New Roman"/>
        </w:rPr>
        <w:t xml:space="preserve">член-корр. РААСН, проф., докт. техн. наук </w:t>
      </w:r>
    </w:p>
    <w:p w:rsidR="007B7BA6" w:rsidRPr="007B7BA6" w:rsidRDefault="007B7BA6" w:rsidP="007B7BA6">
      <w:pPr>
        <w:tabs>
          <w:tab w:val="left" w:pos="0"/>
        </w:tabs>
        <w:spacing w:line="240" w:lineRule="atLeast"/>
        <w:jc w:val="right"/>
        <w:rPr>
          <w:rFonts w:eastAsia="Calibri" w:cs="Times New Roman"/>
          <w:b/>
          <w:i/>
        </w:rPr>
      </w:pPr>
      <w:r w:rsidRPr="007B7BA6">
        <w:rPr>
          <w:rFonts w:eastAsia="Calibri" w:cs="Times New Roman"/>
          <w:b/>
          <w:i/>
        </w:rPr>
        <w:t>А. М. Белостоцкий</w:t>
      </w:r>
    </w:p>
    <w:p w:rsidR="007B7BA6" w:rsidRPr="007B7BA6" w:rsidRDefault="007B7BA6" w:rsidP="007B7BA6">
      <w:pPr>
        <w:tabs>
          <w:tab w:val="left" w:pos="0"/>
        </w:tabs>
        <w:spacing w:line="240" w:lineRule="atLeast"/>
        <w:jc w:val="right"/>
        <w:rPr>
          <w:rFonts w:eastAsia="Calibri" w:cs="Times New Roman"/>
        </w:rPr>
      </w:pPr>
      <w:r w:rsidRPr="007B7BA6">
        <w:rPr>
          <w:rFonts w:eastAsia="Calibri" w:cs="Times New Roman"/>
        </w:rPr>
        <w:t>зав. отделом расчетных исследований</w:t>
      </w:r>
    </w:p>
    <w:p w:rsidR="007B7BA6" w:rsidRPr="007B7BA6" w:rsidRDefault="007B7BA6" w:rsidP="007B7BA6">
      <w:pPr>
        <w:spacing w:line="240" w:lineRule="atLeast"/>
        <w:jc w:val="right"/>
        <w:rPr>
          <w:rFonts w:eastAsia="Calibri" w:cs="Times New Roman"/>
          <w:b/>
          <w:bCs/>
          <w:i/>
          <w:iCs/>
        </w:rPr>
      </w:pPr>
      <w:r w:rsidRPr="007B7BA6">
        <w:rPr>
          <w:rFonts w:eastAsia="Calibri" w:cs="Times New Roman"/>
        </w:rPr>
        <w:t xml:space="preserve">канд. техн. наук </w:t>
      </w:r>
      <w:r w:rsidRPr="007B7BA6">
        <w:rPr>
          <w:rFonts w:eastAsia="Calibri" w:cs="Times New Roman"/>
          <w:b/>
          <w:i/>
        </w:rPr>
        <w:t>Д.С. Дмитриев</w:t>
      </w:r>
    </w:p>
    <w:p w:rsidR="007B7BA6" w:rsidRPr="007B7BA6" w:rsidRDefault="007B7BA6" w:rsidP="007B7BA6">
      <w:pPr>
        <w:spacing w:line="240" w:lineRule="auto"/>
        <w:jc w:val="right"/>
        <w:rPr>
          <w:rFonts w:eastAsia="Times New Roman" w:cs="Times New Roman"/>
          <w:b/>
          <w:bCs/>
          <w:i/>
          <w:iCs/>
          <w:szCs w:val="24"/>
        </w:rPr>
      </w:pPr>
    </w:p>
    <w:p w:rsidR="007B7BA6" w:rsidRPr="007B7BA6" w:rsidRDefault="007B7BA6" w:rsidP="007B7BA6">
      <w:pPr>
        <w:jc w:val="right"/>
        <w:rPr>
          <w:rFonts w:eastAsia="Calibri" w:cs="Times New Roman"/>
        </w:rPr>
      </w:pPr>
      <w:r w:rsidRPr="007B7BA6">
        <w:rPr>
          <w:rFonts w:eastAsia="Calibri" w:cs="Times New Roman"/>
        </w:rPr>
        <w:t>Исполнители:</w:t>
      </w:r>
    </w:p>
    <w:p w:rsidR="007B7BA6" w:rsidRPr="007B7BA6" w:rsidRDefault="007B7BA6" w:rsidP="007B7BA6">
      <w:pPr>
        <w:spacing w:line="240" w:lineRule="atLeast"/>
        <w:jc w:val="right"/>
        <w:rPr>
          <w:rFonts w:eastAsia="Calibri" w:cs="Times New Roman"/>
          <w:b/>
          <w:i/>
        </w:rPr>
      </w:pPr>
      <w:r w:rsidRPr="007B7BA6">
        <w:rPr>
          <w:rFonts w:eastAsia="Calibri" w:cs="Times New Roman"/>
        </w:rPr>
        <w:t xml:space="preserve">канд. техн. наук </w:t>
      </w:r>
      <w:r w:rsidRPr="007B7BA6">
        <w:rPr>
          <w:rFonts w:eastAsia="Calibri" w:cs="Times New Roman"/>
          <w:b/>
          <w:i/>
        </w:rPr>
        <w:t>А.С. Павлов</w:t>
      </w:r>
    </w:p>
    <w:p w:rsidR="007B7BA6" w:rsidRPr="007B7BA6" w:rsidRDefault="007B7BA6" w:rsidP="007B7BA6">
      <w:pPr>
        <w:spacing w:line="240" w:lineRule="atLeast"/>
        <w:jc w:val="right"/>
        <w:rPr>
          <w:rFonts w:eastAsia="Calibri" w:cs="Times New Roman"/>
          <w:b/>
          <w:i/>
        </w:rPr>
      </w:pPr>
      <w:r w:rsidRPr="007B7BA6">
        <w:rPr>
          <w:rFonts w:eastAsia="Calibri" w:cs="Times New Roman"/>
        </w:rPr>
        <w:t>канд. техн. наук</w:t>
      </w:r>
      <w:r w:rsidRPr="007B7BA6">
        <w:rPr>
          <w:rFonts w:eastAsia="Calibri" w:cs="Times New Roman"/>
          <w:b/>
          <w:i/>
        </w:rPr>
        <w:t xml:space="preserve"> А.И. Нагибович</w:t>
      </w:r>
    </w:p>
    <w:p w:rsidR="007B7BA6" w:rsidRPr="007B7BA6" w:rsidRDefault="007B7BA6" w:rsidP="007B7BA6">
      <w:pPr>
        <w:spacing w:line="240" w:lineRule="atLeast"/>
        <w:jc w:val="right"/>
        <w:rPr>
          <w:rFonts w:eastAsia="Calibri" w:cs="Times New Roman"/>
          <w:b/>
          <w:i/>
        </w:rPr>
      </w:pPr>
      <w:r w:rsidRPr="007B7BA6">
        <w:rPr>
          <w:rFonts w:eastAsia="Calibri" w:cs="Times New Roman"/>
          <w:b/>
          <w:i/>
        </w:rPr>
        <w:br w:type="page"/>
      </w:r>
    </w:p>
    <w:tbl>
      <w:tblPr>
        <w:tblStyle w:val="1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8386"/>
      </w:tblGrid>
      <w:tr w:rsidR="007B7BA6" w:rsidRPr="007B7BA6" w:rsidTr="007B7BA6">
        <w:tc>
          <w:tcPr>
            <w:tcW w:w="1405" w:type="dxa"/>
            <w:vAlign w:val="center"/>
          </w:tcPr>
          <w:p w:rsidR="007B7BA6" w:rsidRPr="007B7BA6" w:rsidRDefault="007B7BA6" w:rsidP="007B7BA6">
            <w:pPr>
              <w:rPr>
                <w:rFonts w:eastAsia="Calibri" w:cs="Times New Roman"/>
                <w:lang w:val="de-DE"/>
              </w:rPr>
            </w:pPr>
            <w:r w:rsidRPr="007B7BA6">
              <w:rPr>
                <w:rFonts w:eastAsia="Calibri" w:cs="Times New Roman"/>
                <w:noProof/>
                <w:color w:val="FF0000"/>
                <w:lang w:eastAsia="ru-RU"/>
              </w:rPr>
              <w:lastRenderedPageBreak/>
              <w:drawing>
                <wp:anchor distT="0" distB="0" distL="114300" distR="114300" simplePos="0" relativeHeight="252064768" behindDoc="0" locked="0" layoutInCell="1" allowOverlap="1" wp14:anchorId="53308EBD" wp14:editId="08E0DAEE">
                  <wp:simplePos x="0" y="0"/>
                  <wp:positionH relativeFrom="column">
                    <wp:posOffset>-50165</wp:posOffset>
                  </wp:positionH>
                  <wp:positionV relativeFrom="paragraph">
                    <wp:posOffset>-330200</wp:posOffset>
                  </wp:positionV>
                  <wp:extent cx="617855" cy="899795"/>
                  <wp:effectExtent l="0" t="0" r="0" b="0"/>
                  <wp:wrapNone/>
                  <wp:docPr id="28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9" name="Рисунок 6"/>
                          <pic:cNvPicPr>
                            <a:picLocks noChangeAspect="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2773" r="8759"/>
                          <a:stretch>
                            <a:fillRect/>
                          </a:stretch>
                        </pic:blipFill>
                        <pic:spPr bwMode="auto">
                          <a:xfrm>
                            <a:off x="0" y="0"/>
                            <a:ext cx="617855" cy="89979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8485" w:type="dxa"/>
            <w:vAlign w:val="center"/>
          </w:tcPr>
          <w:p w:rsidR="007B7BA6" w:rsidRPr="007B7BA6" w:rsidRDefault="007B7BA6" w:rsidP="007B7BA6">
            <w:pPr>
              <w:ind w:firstLine="14"/>
              <w:jc w:val="center"/>
              <w:rPr>
                <w:rFonts w:eastAsia="Calibri" w:cs="Times New Roman"/>
                <w:lang w:val="de-DE"/>
              </w:rPr>
            </w:pPr>
            <w:r w:rsidRPr="007B7BA6">
              <w:rPr>
                <w:rFonts w:eastAsia="Calibri" w:cs="Times New Roman"/>
                <w:b/>
                <w:i/>
                <w:color w:val="0033CC"/>
                <w:sz w:val="40"/>
                <w:szCs w:val="32"/>
              </w:rPr>
              <w:t>Н</w:t>
            </w:r>
            <w:r w:rsidRPr="007B7BA6">
              <w:rPr>
                <w:rFonts w:eastAsia="Calibri" w:cs="Times New Roman"/>
                <w:bCs/>
                <w:i/>
                <w:color w:val="0033CC"/>
                <w:sz w:val="40"/>
                <w:szCs w:val="32"/>
              </w:rPr>
              <w:t>аучно-</w:t>
            </w:r>
            <w:r w:rsidRPr="007B7BA6">
              <w:rPr>
                <w:rFonts w:eastAsia="Calibri" w:cs="Times New Roman"/>
                <w:b/>
                <w:i/>
                <w:color w:val="0033CC"/>
                <w:sz w:val="40"/>
                <w:szCs w:val="32"/>
              </w:rPr>
              <w:t>и</w:t>
            </w:r>
            <w:r w:rsidRPr="007B7BA6">
              <w:rPr>
                <w:rFonts w:eastAsia="Calibri" w:cs="Times New Roman"/>
                <w:bCs/>
                <w:i/>
                <w:color w:val="0033CC"/>
                <w:sz w:val="40"/>
                <w:szCs w:val="32"/>
              </w:rPr>
              <w:t>сследовательский</w:t>
            </w:r>
            <w:r w:rsidRPr="007B7BA6">
              <w:rPr>
                <w:rFonts w:eastAsia="Calibri" w:cs="Times New Roman"/>
                <w:color w:val="0033CC"/>
                <w:sz w:val="40"/>
                <w:szCs w:val="32"/>
              </w:rPr>
              <w:t xml:space="preserve"> </w:t>
            </w:r>
            <w:r w:rsidRPr="007B7BA6">
              <w:rPr>
                <w:rFonts w:eastAsia="Calibri" w:cs="Times New Roman"/>
                <w:b/>
                <w:i/>
                <w:color w:val="0033CC"/>
                <w:sz w:val="40"/>
                <w:szCs w:val="32"/>
              </w:rPr>
              <w:t>ц</w:t>
            </w:r>
            <w:r w:rsidRPr="007B7BA6">
              <w:rPr>
                <w:rFonts w:eastAsia="Calibri" w:cs="Times New Roman"/>
                <w:bCs/>
                <w:i/>
                <w:color w:val="0033CC"/>
                <w:sz w:val="40"/>
                <w:szCs w:val="32"/>
              </w:rPr>
              <w:t>ентр</w:t>
            </w:r>
            <w:r w:rsidRPr="007B7BA6">
              <w:rPr>
                <w:rFonts w:eastAsia="Calibri" w:cs="Times New Roman"/>
                <w:bCs/>
                <w:color w:val="0033CC"/>
                <w:sz w:val="40"/>
                <w:szCs w:val="32"/>
              </w:rPr>
              <w:t xml:space="preserve"> </w:t>
            </w:r>
            <w:r w:rsidRPr="007B7BA6">
              <w:rPr>
                <w:rFonts w:eastAsia="Calibri" w:cs="Times New Roman"/>
                <w:b/>
                <w:i/>
                <w:color w:val="CC0000"/>
                <w:sz w:val="48"/>
                <w:szCs w:val="40"/>
              </w:rPr>
              <w:t>Ста</w:t>
            </w:r>
            <w:r w:rsidRPr="007B7BA6">
              <w:rPr>
                <w:rFonts w:eastAsia="Calibri" w:cs="Times New Roman"/>
                <w:b/>
                <w:i/>
                <w:color w:val="0000FF"/>
                <w:sz w:val="48"/>
                <w:szCs w:val="40"/>
              </w:rPr>
              <w:t>Ди</w:t>
            </w:r>
            <w:r w:rsidRPr="007B7BA6">
              <w:rPr>
                <w:rFonts w:eastAsia="Calibri" w:cs="Times New Roman"/>
                <w:b/>
                <w:i/>
                <w:color w:val="CC0000"/>
                <w:sz w:val="48"/>
                <w:szCs w:val="40"/>
              </w:rPr>
              <w:t>О</w:t>
            </w:r>
          </w:p>
        </w:tc>
      </w:tr>
      <w:tr w:rsidR="007B7BA6" w:rsidRPr="007B7BA6" w:rsidTr="007B7BA6">
        <w:trPr>
          <w:trHeight w:val="902"/>
        </w:trPr>
        <w:tc>
          <w:tcPr>
            <w:tcW w:w="9890" w:type="dxa"/>
            <w:gridSpan w:val="2"/>
            <w:vAlign w:val="center"/>
          </w:tcPr>
          <w:p w:rsidR="007B7BA6" w:rsidRPr="007B7BA6" w:rsidRDefault="007B7BA6" w:rsidP="007B7BA6">
            <w:pPr>
              <w:jc w:val="center"/>
              <w:rPr>
                <w:rFonts w:eastAsia="Arial" w:cs="Times New Roman"/>
                <w:i/>
                <w:iCs/>
                <w:szCs w:val="20"/>
              </w:rPr>
            </w:pPr>
            <w:r w:rsidRPr="007B7BA6">
              <w:rPr>
                <w:rFonts w:eastAsia="Arial" w:cs="Times New Roman"/>
                <w:i/>
                <w:iCs/>
                <w:szCs w:val="20"/>
              </w:rPr>
              <w:t xml:space="preserve">Свидетельство СРО «АПОЭК» «Проектировщики оборонного и энергетического комплексов». </w:t>
            </w:r>
          </w:p>
          <w:p w:rsidR="007B7BA6" w:rsidRPr="007B7BA6" w:rsidRDefault="007B7BA6" w:rsidP="007B7BA6">
            <w:pPr>
              <w:jc w:val="center"/>
              <w:rPr>
                <w:rFonts w:eastAsia="Calibri" w:cs="Times New Roman"/>
                <w:i/>
                <w:iCs/>
                <w:szCs w:val="20"/>
              </w:rPr>
            </w:pPr>
            <w:r w:rsidRPr="007B7BA6">
              <w:rPr>
                <w:rFonts w:eastAsia="Arial" w:cs="Times New Roman"/>
                <w:i/>
                <w:iCs/>
                <w:szCs w:val="20"/>
              </w:rPr>
              <w:t>Номер решения о приеме в члены СРО № 06-ПСС-38/2018</w:t>
            </w:r>
            <w:r w:rsidRPr="007B7BA6">
              <w:rPr>
                <w:rFonts w:eastAsia="Calibri" w:cs="Times New Roman"/>
                <w:i/>
                <w:iCs/>
                <w:szCs w:val="20"/>
              </w:rPr>
              <w:t xml:space="preserve"> от 20.06.2018 г.</w:t>
            </w:r>
          </w:p>
          <w:p w:rsidR="007B7BA6" w:rsidRPr="007B7BA6" w:rsidRDefault="007B7BA6" w:rsidP="007B7BA6">
            <w:pPr>
              <w:ind w:left="-141" w:firstLine="283"/>
              <w:rPr>
                <w:rFonts w:eastAsia="Calibri" w:cs="Times New Roman"/>
                <w:u w:val="single"/>
                <w:lang w:val="de-DE"/>
              </w:rPr>
            </w:pPr>
            <w:r w:rsidRPr="007B7BA6">
              <w:rPr>
                <w:rFonts w:eastAsia="Calibri" w:cs="Times New Roman"/>
                <w:b/>
                <w:szCs w:val="20"/>
                <w:u w:val="single"/>
                <w:lang w:val="de-DE"/>
              </w:rPr>
              <w:t xml:space="preserve">123098, </w:t>
            </w:r>
            <w:r w:rsidRPr="007B7BA6">
              <w:rPr>
                <w:rFonts w:eastAsia="Calibri" w:cs="Times New Roman"/>
                <w:b/>
                <w:szCs w:val="20"/>
                <w:u w:val="single"/>
              </w:rPr>
              <w:t>Москва</w:t>
            </w:r>
            <w:r w:rsidRPr="007B7BA6">
              <w:rPr>
                <w:rFonts w:eastAsia="Calibri" w:cs="Times New Roman"/>
                <w:b/>
                <w:szCs w:val="20"/>
                <w:u w:val="single"/>
                <w:lang w:val="de-DE"/>
              </w:rPr>
              <w:t xml:space="preserve">, </w:t>
            </w:r>
            <w:r w:rsidRPr="007B7BA6">
              <w:rPr>
                <w:rFonts w:eastAsia="Calibri" w:cs="Times New Roman"/>
                <w:b/>
                <w:szCs w:val="20"/>
                <w:u w:val="single"/>
              </w:rPr>
              <w:t>пл</w:t>
            </w:r>
            <w:r w:rsidRPr="007B7BA6">
              <w:rPr>
                <w:rFonts w:eastAsia="Calibri" w:cs="Times New Roman"/>
                <w:b/>
                <w:szCs w:val="20"/>
                <w:u w:val="single"/>
                <w:lang w:val="de-DE"/>
              </w:rPr>
              <w:t xml:space="preserve">. </w:t>
            </w:r>
            <w:r w:rsidRPr="007B7BA6">
              <w:rPr>
                <w:rFonts w:eastAsia="Calibri" w:cs="Times New Roman"/>
                <w:b/>
                <w:szCs w:val="20"/>
                <w:u w:val="single"/>
              </w:rPr>
              <w:t>акад</w:t>
            </w:r>
            <w:r w:rsidRPr="007B7BA6">
              <w:rPr>
                <w:rFonts w:eastAsia="Calibri" w:cs="Times New Roman"/>
                <w:b/>
                <w:szCs w:val="20"/>
                <w:u w:val="single"/>
                <w:lang w:val="de-DE"/>
              </w:rPr>
              <w:t xml:space="preserve">. </w:t>
            </w:r>
            <w:r w:rsidRPr="007B7BA6">
              <w:rPr>
                <w:rFonts w:eastAsia="Calibri" w:cs="Times New Roman"/>
                <w:b/>
                <w:szCs w:val="20"/>
                <w:u w:val="single"/>
              </w:rPr>
              <w:t>Курчатова</w:t>
            </w:r>
            <w:r w:rsidRPr="007B7BA6">
              <w:rPr>
                <w:rFonts w:eastAsia="Calibri" w:cs="Times New Roman"/>
                <w:b/>
                <w:szCs w:val="20"/>
                <w:u w:val="single"/>
                <w:lang w:val="de-DE"/>
              </w:rPr>
              <w:t xml:space="preserve">, 1, </w:t>
            </w:r>
            <w:r w:rsidRPr="007B7BA6">
              <w:rPr>
                <w:rFonts w:eastAsia="Calibri" w:cs="Times New Roman"/>
                <w:b/>
                <w:szCs w:val="20"/>
                <w:u w:val="single"/>
              </w:rPr>
              <w:t>т</w:t>
            </w:r>
            <w:r w:rsidRPr="007B7BA6">
              <w:rPr>
                <w:rFonts w:eastAsia="Calibri" w:cs="Times New Roman"/>
                <w:b/>
                <w:szCs w:val="20"/>
                <w:u w:val="single"/>
                <w:lang w:val="de-DE"/>
              </w:rPr>
              <w:t xml:space="preserve">. (499)706-8810, e-mail: </w:t>
            </w:r>
            <w:hyperlink r:id="rId11" w:history="1">
              <w:r w:rsidRPr="007B7BA6">
                <w:rPr>
                  <w:rFonts w:eastAsia="Calibri" w:cs="Times New Roman"/>
                  <w:b/>
                  <w:i/>
                  <w:color w:val="0070C0"/>
                  <w:szCs w:val="20"/>
                  <w:u w:val="single"/>
                  <w:lang w:val="de-DE"/>
                </w:rPr>
                <w:t>stadyo@stadyo.ru</w:t>
              </w:r>
            </w:hyperlink>
            <w:r w:rsidRPr="007B7BA6">
              <w:rPr>
                <w:rFonts w:eastAsia="Calibri" w:cs="Times New Roman"/>
                <w:b/>
                <w:szCs w:val="20"/>
                <w:u w:val="single"/>
                <w:lang w:val="de-DE"/>
              </w:rPr>
              <w:t xml:space="preserve">, Web-site: </w:t>
            </w:r>
            <w:r w:rsidRPr="007B7BA6">
              <w:rPr>
                <w:rFonts w:eastAsia="Calibri" w:cs="Times New Roman"/>
                <w:b/>
                <w:i/>
                <w:color w:val="0070C0"/>
                <w:szCs w:val="20"/>
                <w:u w:val="single"/>
                <w:lang w:val="de-DE"/>
              </w:rPr>
              <w:t>www.stadyo.ru</w:t>
            </w:r>
          </w:p>
        </w:tc>
      </w:tr>
    </w:tbl>
    <w:p w:rsidR="007B7BA6" w:rsidRPr="007B7BA6" w:rsidRDefault="007B7BA6" w:rsidP="007B7BA6">
      <w:pPr>
        <w:autoSpaceDE w:val="0"/>
        <w:autoSpaceDN w:val="0"/>
        <w:spacing w:line="240" w:lineRule="auto"/>
        <w:rPr>
          <w:rFonts w:eastAsia="Times New Roman" w:cs="Times New Roman"/>
          <w:spacing w:val="-3"/>
          <w:szCs w:val="24"/>
          <w:lang w:eastAsia="ru-RU"/>
        </w:rPr>
      </w:pPr>
    </w:p>
    <w:p w:rsidR="007B7BA6" w:rsidRPr="007B7BA6" w:rsidRDefault="007B7BA6" w:rsidP="007B7BA6">
      <w:pPr>
        <w:autoSpaceDE w:val="0"/>
        <w:autoSpaceDN w:val="0"/>
        <w:rPr>
          <w:rFonts w:eastAsia="Calibri" w:cs="Times New Roman"/>
          <w:sz w:val="22"/>
        </w:rPr>
      </w:pPr>
      <w:r w:rsidRPr="007B7BA6">
        <w:rPr>
          <w:rFonts w:eastAsia="Calibri" w:cs="Times New Roman"/>
          <w:sz w:val="22"/>
        </w:rPr>
        <w:t xml:space="preserve">Ивн. </w:t>
      </w:r>
      <w:r w:rsidRPr="007B7BA6">
        <w:rPr>
          <w:rFonts w:eastAsia="Calibri" w:cs="Times New Roman"/>
          <w:sz w:val="22"/>
          <w:u w:val="single"/>
        </w:rPr>
        <w:t>№ ПЗ/2020-12-1</w:t>
      </w:r>
    </w:p>
    <w:p w:rsidR="007B7BA6" w:rsidRPr="007B7BA6" w:rsidRDefault="007B7BA6" w:rsidP="007B7BA6">
      <w:pPr>
        <w:spacing w:line="240" w:lineRule="auto"/>
        <w:jc w:val="center"/>
        <w:rPr>
          <w:rFonts w:eastAsia="Calibri" w:cs="Times New Roman"/>
          <w:b/>
          <w:sz w:val="32"/>
        </w:rPr>
      </w:pPr>
    </w:p>
    <w:p w:rsidR="007B7BA6" w:rsidRPr="007B7BA6" w:rsidRDefault="007B7BA6" w:rsidP="007B7BA6">
      <w:pPr>
        <w:spacing w:line="240" w:lineRule="auto"/>
        <w:jc w:val="center"/>
        <w:rPr>
          <w:rFonts w:eastAsia="Calibri" w:cs="Times New Roman"/>
          <w:b/>
          <w:sz w:val="32"/>
        </w:rPr>
      </w:pPr>
      <w:r w:rsidRPr="007B7BA6">
        <w:rPr>
          <w:rFonts w:eastAsia="Calibri" w:cs="Times New Roman"/>
          <w:b/>
          <w:sz w:val="32"/>
        </w:rPr>
        <w:t>Научно-технический отчет</w:t>
      </w:r>
    </w:p>
    <w:p w:rsidR="007B7BA6" w:rsidRPr="007B7BA6" w:rsidRDefault="007B7BA6" w:rsidP="007B7BA6">
      <w:pPr>
        <w:jc w:val="center"/>
        <w:rPr>
          <w:rFonts w:eastAsia="Calibri" w:cs="Times New Roman"/>
          <w:szCs w:val="24"/>
        </w:rPr>
      </w:pPr>
      <w:r w:rsidRPr="007B7BA6">
        <w:rPr>
          <w:rFonts w:eastAsia="Calibri" w:cs="Times New Roman"/>
          <w:szCs w:val="24"/>
        </w:rPr>
        <w:t>по договору № ПЗ/2020-12 от 11 декабря 2020 года</w:t>
      </w:r>
    </w:p>
    <w:p w:rsidR="007B7BA6" w:rsidRPr="007B7BA6" w:rsidRDefault="007B7BA6" w:rsidP="007B7BA6">
      <w:pPr>
        <w:tabs>
          <w:tab w:val="left" w:pos="0"/>
        </w:tabs>
        <w:jc w:val="center"/>
        <w:rPr>
          <w:rFonts w:eastAsia="Calibri" w:cs="Times New Roman"/>
          <w:b/>
          <w:sz w:val="28"/>
          <w:szCs w:val="28"/>
        </w:rPr>
      </w:pPr>
    </w:p>
    <w:p w:rsidR="007B7BA6" w:rsidRPr="007B7BA6" w:rsidRDefault="007B7BA6" w:rsidP="007B7BA6">
      <w:pPr>
        <w:autoSpaceDE w:val="0"/>
        <w:autoSpaceDN w:val="0"/>
        <w:spacing w:line="240" w:lineRule="auto"/>
        <w:jc w:val="center"/>
        <w:rPr>
          <w:rFonts w:eastAsia="Times New Roman" w:cs="Times New Roman"/>
          <w:b/>
          <w:spacing w:val="-3"/>
          <w:sz w:val="22"/>
          <w:szCs w:val="28"/>
          <w:lang w:eastAsia="ru-RU"/>
        </w:rPr>
      </w:pPr>
      <w:r w:rsidRPr="007B7BA6">
        <w:rPr>
          <w:rFonts w:eastAsia="Times New Roman" w:cs="Times New Roman"/>
          <w:b/>
          <w:spacing w:val="-3"/>
          <w:sz w:val="22"/>
          <w:szCs w:val="28"/>
          <w:lang w:eastAsia="ru-RU"/>
        </w:rPr>
        <w:t>Расчет на устойчивость к прогрессирующему обрушению для реконструкции Объекта (включая Арену и Некапитальные сооружения): «Реконструкция спортивно-концертного комплекса Петербургский», расположенного в квартале, ограниченном проспектом Ю. Гагарина, ул. Кузнецовская, пр. Космонавтов, ул. Бассейная, в целях создания многофункционального спортивно-досугового комплекса»</w:t>
      </w:r>
    </w:p>
    <w:p w:rsidR="007B7BA6" w:rsidRPr="007B7BA6" w:rsidRDefault="007B7BA6" w:rsidP="007B7BA6">
      <w:pPr>
        <w:spacing w:line="240" w:lineRule="atLeast"/>
        <w:jc w:val="center"/>
        <w:rPr>
          <w:rFonts w:eastAsia="Times New Roman" w:cs="Times New Roman"/>
          <w:b/>
          <w:spacing w:val="-3"/>
          <w:szCs w:val="28"/>
          <w:lang w:eastAsia="ru-RU"/>
        </w:rPr>
      </w:pPr>
    </w:p>
    <w:p w:rsidR="007B7BA6" w:rsidRPr="007B7BA6" w:rsidRDefault="007B7BA6" w:rsidP="007B7BA6">
      <w:pPr>
        <w:spacing w:line="240" w:lineRule="atLeast"/>
        <w:ind w:firstLine="0"/>
        <w:jc w:val="center"/>
        <w:rPr>
          <w:rFonts w:eastAsia="Times New Roman" w:cs="Times New Roman"/>
          <w:b/>
          <w:spacing w:val="-3"/>
          <w:szCs w:val="24"/>
          <w:lang w:eastAsia="ru-RU"/>
        </w:rPr>
      </w:pPr>
      <w:r w:rsidRPr="007B7BA6">
        <w:rPr>
          <w:rFonts w:eastAsia="Calibri" w:cs="Times New Roman"/>
          <w:noProof/>
          <w:lang w:eastAsia="ru-RU"/>
        </w:rPr>
        <w:drawing>
          <wp:inline distT="0" distB="0" distL="0" distR="0" wp14:anchorId="353B9003" wp14:editId="49109BBB">
            <wp:extent cx="3289053" cy="2407285"/>
            <wp:effectExtent l="0" t="0" r="698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308736" cy="2421691"/>
                    </a:xfrm>
                    <a:prstGeom prst="rect">
                      <a:avLst/>
                    </a:prstGeom>
                  </pic:spPr>
                </pic:pic>
              </a:graphicData>
            </a:graphic>
          </wp:inline>
        </w:drawing>
      </w:r>
      <w:r w:rsidRPr="007B7BA6">
        <w:rPr>
          <w:rFonts w:eastAsia="Calibri" w:cs="Times New Roman"/>
          <w:noProof/>
          <w:lang w:eastAsia="ru-RU"/>
        </w:rPr>
        <w:drawing>
          <wp:inline distT="0" distB="0" distL="0" distR="0" wp14:anchorId="1D332A34" wp14:editId="4EE6DB7D">
            <wp:extent cx="2461260" cy="2448938"/>
            <wp:effectExtent l="0" t="0" r="0" b="8890"/>
            <wp:docPr id="534"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png"/>
                    <pic:cNvPicPr/>
                  </pic:nvPicPr>
                  <pic:blipFill rotWithShape="1">
                    <a:blip r:embed="rId13" cstate="print">
                      <a:extLst>
                        <a:ext uri="{28A0092B-C50C-407E-A947-70E740481C1C}">
                          <a14:useLocalDpi xmlns:a14="http://schemas.microsoft.com/office/drawing/2010/main" val="0"/>
                        </a:ext>
                      </a:extLst>
                    </a:blip>
                    <a:srcRect l="-760" r="760" b="6187"/>
                    <a:stretch/>
                  </pic:blipFill>
                  <pic:spPr bwMode="auto">
                    <a:xfrm>
                      <a:off x="0" y="0"/>
                      <a:ext cx="2470449" cy="2458081"/>
                    </a:xfrm>
                    <a:prstGeom prst="rect">
                      <a:avLst/>
                    </a:prstGeom>
                    <a:ln>
                      <a:noFill/>
                    </a:ln>
                    <a:extLst>
                      <a:ext uri="{53640926-AAD7-44D8-BBD7-CCE9431645EC}">
                        <a14:shadowObscured xmlns:a14="http://schemas.microsoft.com/office/drawing/2010/main"/>
                      </a:ext>
                    </a:extLst>
                  </pic:spPr>
                </pic:pic>
              </a:graphicData>
            </a:graphic>
          </wp:inline>
        </w:drawing>
      </w:r>
    </w:p>
    <w:p w:rsidR="007B7BA6" w:rsidRPr="007B7BA6" w:rsidRDefault="007B7BA6" w:rsidP="007B7BA6">
      <w:pPr>
        <w:spacing w:line="240" w:lineRule="atLeast"/>
        <w:rPr>
          <w:rFonts w:eastAsia="Times New Roman" w:cs="Times New Roman"/>
          <w:b/>
          <w:spacing w:val="-3"/>
          <w:szCs w:val="24"/>
          <w:lang w:eastAsia="ru-RU"/>
        </w:rPr>
      </w:pPr>
    </w:p>
    <w:p w:rsidR="007B7BA6" w:rsidRPr="007B7BA6" w:rsidRDefault="007B7BA6" w:rsidP="007B7BA6">
      <w:pPr>
        <w:spacing w:line="240" w:lineRule="atLeast"/>
        <w:jc w:val="center"/>
        <w:rPr>
          <w:rFonts w:eastAsia="Times New Roman" w:cs="Times New Roman"/>
          <w:b/>
          <w:spacing w:val="-3"/>
          <w:szCs w:val="24"/>
          <w:lang w:eastAsia="ru-RU"/>
        </w:rPr>
      </w:pPr>
      <w:r w:rsidRPr="007B7BA6">
        <w:rPr>
          <w:rFonts w:eastAsia="Calibri" w:cs="Times New Roman"/>
          <w:noProof/>
          <w:szCs w:val="20"/>
          <w:lang w:eastAsia="ru-RU"/>
        </w:rPr>
        <w:drawing>
          <wp:inline distT="0" distB="0" distL="0" distR="0" wp14:anchorId="097F3902" wp14:editId="70BAB919">
            <wp:extent cx="5546271" cy="2599323"/>
            <wp:effectExtent l="0" t="0" r="0" b="0"/>
            <wp:docPr id="544"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51749" cy="2601890"/>
                    </a:xfrm>
                    <a:prstGeom prst="rect">
                      <a:avLst/>
                    </a:prstGeom>
                  </pic:spPr>
                </pic:pic>
              </a:graphicData>
            </a:graphic>
          </wp:inline>
        </w:drawing>
      </w:r>
    </w:p>
    <w:p w:rsidR="007B7BA6" w:rsidRPr="007B7BA6" w:rsidRDefault="007B7BA6" w:rsidP="007B7BA6">
      <w:pPr>
        <w:spacing w:line="240" w:lineRule="auto"/>
        <w:rPr>
          <w:rFonts w:eastAsia="Times New Roman" w:cs="Times New Roman"/>
          <w:b/>
          <w:spacing w:val="-3"/>
          <w:szCs w:val="24"/>
          <w:lang w:eastAsia="ru-RU"/>
        </w:rPr>
      </w:pPr>
    </w:p>
    <w:p w:rsidR="00EE0D4B" w:rsidRPr="00CF11D5" w:rsidRDefault="00EE0D4B" w:rsidP="002E4250">
      <w:pPr>
        <w:spacing w:line="240" w:lineRule="auto"/>
        <w:rPr>
          <w:rFonts w:eastAsia="Times New Roman" w:cs="Times New Roman"/>
          <w:b/>
          <w:spacing w:val="-3"/>
          <w:szCs w:val="24"/>
          <w:lang w:eastAsia="ru-RU"/>
        </w:rPr>
      </w:pPr>
    </w:p>
    <w:p w:rsidR="000C3D38" w:rsidRDefault="000C3D38" w:rsidP="00D52EC0">
      <w:pPr>
        <w:spacing w:line="240" w:lineRule="auto"/>
        <w:ind w:firstLine="0"/>
        <w:rPr>
          <w:rFonts w:eastAsia="Times New Roman" w:cs="Times New Roman"/>
          <w:b/>
          <w:spacing w:val="-3"/>
          <w:szCs w:val="24"/>
          <w:lang w:val="en-US" w:eastAsia="ru-RU"/>
        </w:rPr>
      </w:pPr>
    </w:p>
    <w:p w:rsidR="004208BF" w:rsidRPr="000C3D38" w:rsidRDefault="000C3D38" w:rsidP="000C3D38">
      <w:pPr>
        <w:tabs>
          <w:tab w:val="center" w:pos="5032"/>
        </w:tabs>
        <w:rPr>
          <w:rFonts w:eastAsia="Times New Roman" w:cs="Times New Roman"/>
          <w:szCs w:val="24"/>
          <w:lang w:val="en-US" w:eastAsia="ru-RU"/>
        </w:rPr>
        <w:sectPr w:rsidR="004208BF" w:rsidRPr="000C3D38" w:rsidSect="00AB3E0F">
          <w:footerReference w:type="default" r:id="rId15"/>
          <w:pgSz w:w="11906" w:h="16838"/>
          <w:pgMar w:top="1134" w:right="850" w:bottom="1134" w:left="1701" w:header="708" w:footer="708" w:gutter="0"/>
          <w:cols w:space="708"/>
          <w:docGrid w:linePitch="360"/>
        </w:sectPr>
      </w:pPr>
      <w:r>
        <w:rPr>
          <w:rFonts w:eastAsia="Times New Roman" w:cs="Times New Roman"/>
          <w:szCs w:val="24"/>
          <w:lang w:val="en-US" w:eastAsia="ru-RU"/>
        </w:rPr>
        <w:tab/>
      </w:r>
    </w:p>
    <w:p w:rsidR="00783ECC" w:rsidRPr="00CF11D5" w:rsidRDefault="00783ECC" w:rsidP="00A12394">
      <w:pPr>
        <w:pStyle w:val="1"/>
        <w:numPr>
          <w:ilvl w:val="0"/>
          <w:numId w:val="0"/>
        </w:numPr>
        <w:ind w:left="709"/>
        <w:jc w:val="center"/>
      </w:pPr>
      <w:bookmarkStart w:id="0" w:name="_Toc61869973"/>
      <w:r w:rsidRPr="00CF11D5">
        <w:lastRenderedPageBreak/>
        <w:t>Введение</w:t>
      </w:r>
      <w:bookmarkEnd w:id="0"/>
    </w:p>
    <w:p w:rsidR="00783ECC" w:rsidRPr="00CF11D5" w:rsidRDefault="00783ECC" w:rsidP="00BD7853">
      <w:r w:rsidRPr="00CF11D5">
        <w:t>В соответствии с заданием на проектирование, календарным планом, и рабочими соглашениями в отчете представлены:</w:t>
      </w:r>
    </w:p>
    <w:p w:rsidR="00783ECC" w:rsidRPr="00740214" w:rsidRDefault="00783ECC" w:rsidP="00BD7853">
      <w:r w:rsidRPr="00CF11D5">
        <w:t>• Краткое описание природных условий района расп</w:t>
      </w:r>
      <w:r w:rsidR="00740214">
        <w:t>оложения проектируемого объекта.</w:t>
      </w:r>
    </w:p>
    <w:p w:rsidR="00783ECC" w:rsidRPr="00CF11D5" w:rsidRDefault="00783ECC" w:rsidP="00BD7853">
      <w:r w:rsidRPr="00CF11D5">
        <w:t>• Описание численных методик, алгоритмов и реализующих программных комплексов, расчета статического и динамического напряженно-д</w:t>
      </w:r>
      <w:r w:rsidR="00740214">
        <w:t>еформированного состояния</w:t>
      </w:r>
      <w:r w:rsidRPr="00CF11D5">
        <w:t>.</w:t>
      </w:r>
    </w:p>
    <w:p w:rsidR="00783ECC" w:rsidRPr="00CF11D5" w:rsidRDefault="00783ECC" w:rsidP="00BD7853">
      <w:r w:rsidRPr="00CF11D5">
        <w:t>• Описание разработанных и верифицированных подробных конечно</w:t>
      </w:r>
      <w:r w:rsidR="00740214">
        <w:t>-</w:t>
      </w:r>
      <w:r w:rsidRPr="00CF11D5">
        <w:t xml:space="preserve">элементных моделей Объекта, адекватно отражающие их геометрико-жесткостные, инерционные и нагрузочные характеристики и результирующее напряженно-деформированное состояние (глава </w:t>
      </w:r>
      <w:r w:rsidRPr="00CF11D5">
        <w:fldChar w:fldCharType="begin"/>
      </w:r>
      <w:r w:rsidRPr="00CF11D5">
        <w:instrText xml:space="preserve"> REF _Ref59623783 \r \h  \* MERGEFORMAT </w:instrText>
      </w:r>
      <w:r w:rsidRPr="00CF11D5">
        <w:fldChar w:fldCharType="separate"/>
      </w:r>
      <w:r w:rsidR="00911CD0">
        <w:t>3</w:t>
      </w:r>
      <w:r w:rsidRPr="00CF11D5">
        <w:fldChar w:fldCharType="end"/>
      </w:r>
      <w:r w:rsidRPr="00CF11D5">
        <w:t>).</w:t>
      </w:r>
    </w:p>
    <w:p w:rsidR="00783ECC" w:rsidRPr="00CF11D5" w:rsidRDefault="00783ECC" w:rsidP="00BD7853">
      <w:r w:rsidRPr="00CF11D5">
        <w:t>• Методику расчета на прогрессирующее обрушение в соответствии с СП 3</w:t>
      </w:r>
      <w:r w:rsidR="00740214">
        <w:t>85.1325800.2018.</w:t>
      </w:r>
    </w:p>
    <w:p w:rsidR="00783ECC" w:rsidRPr="00CF11D5" w:rsidRDefault="00BF388F" w:rsidP="00BD7853">
      <w:r>
        <w:t xml:space="preserve">• </w:t>
      </w:r>
      <w:r w:rsidR="00783ECC" w:rsidRPr="00CF11D5">
        <w:t>Результирующие параметры напряженно-деформированного состояния, прочности, устойчивости и динамики несущих конструкций Объекта при основных и особых сочетани</w:t>
      </w:r>
      <w:r w:rsidR="00740214">
        <w:t>ях нагрузок и воздействий</w:t>
      </w:r>
      <w:r w:rsidR="00783ECC" w:rsidRPr="00CF11D5">
        <w:t>.</w:t>
      </w:r>
    </w:p>
    <w:p w:rsidR="00783ECC" w:rsidRPr="00CF11D5" w:rsidRDefault="00783ECC" w:rsidP="00BD7853">
      <w:r w:rsidRPr="00CF11D5">
        <w:t>В заключении, на базе выполненных исследований делается вывод о достоверности полученных расчетами критериальных параметров, определяющих прочность, устойчивость конструкций Объекта к прогрессирующему обрушению.</w:t>
      </w:r>
    </w:p>
    <w:p w:rsidR="00783ECC" w:rsidRDefault="00783ECC" w:rsidP="00783ECC"/>
    <w:p w:rsidR="00783ECC" w:rsidRPr="00CF11D5" w:rsidRDefault="00783ECC" w:rsidP="00A12394">
      <w:pPr>
        <w:pStyle w:val="1"/>
        <w:numPr>
          <w:ilvl w:val="0"/>
          <w:numId w:val="0"/>
        </w:numPr>
        <w:ind w:left="709"/>
        <w:jc w:val="center"/>
      </w:pPr>
      <w:bookmarkStart w:id="1" w:name="_Toc58901712"/>
      <w:bookmarkStart w:id="2" w:name="_Ref59623776"/>
      <w:bookmarkStart w:id="3" w:name="_Toc61869974"/>
      <w:r w:rsidRPr="00CF11D5">
        <w:t>Исходные данные</w:t>
      </w:r>
      <w:bookmarkEnd w:id="1"/>
      <w:bookmarkEnd w:id="2"/>
      <w:bookmarkEnd w:id="3"/>
    </w:p>
    <w:p w:rsidR="00783ECC" w:rsidRPr="00CF11D5" w:rsidRDefault="00783ECC" w:rsidP="00354EA6">
      <w:r w:rsidRPr="00CF11D5">
        <w:t>Материал для стальных конструкций:</w:t>
      </w:r>
    </w:p>
    <w:p w:rsidR="00783ECC" w:rsidRPr="00CF11D5" w:rsidRDefault="00783ECC" w:rsidP="00111DAD">
      <w:r w:rsidRPr="00CF11D5">
        <w:t>– для пластин и труб всей системы распорок (внутри фермы и на крыше) толщиной стенки до 10 мм включительно – С345-5, с толщиной стенки более 10 мм – С355-5.</w:t>
      </w:r>
    </w:p>
    <w:p w:rsidR="00783ECC" w:rsidRPr="00CF11D5" w:rsidRDefault="00783ECC" w:rsidP="00BD7853">
      <w:r w:rsidRPr="00CF11D5">
        <w:t>– для основных труб в фермах (диаметр более 500 мм) — C390 или аналог.</w:t>
      </w:r>
    </w:p>
    <w:p w:rsidR="004E413A" w:rsidRDefault="00CF11D5" w:rsidP="00BD7853">
      <w:r w:rsidRPr="00CF11D5">
        <w:t>При расчете на прогрессирующее обрушение принимаются нормативные прочностные и деформационные характеристики материалов. Повышающие коэффициенты по не учитываются.</w:t>
      </w:r>
    </w:p>
    <w:p w:rsidR="00111DAD" w:rsidRPr="00111DAD" w:rsidRDefault="00111DAD" w:rsidP="00354EA6">
      <w:r>
        <w:t>Нагрузки и воздействия:</w:t>
      </w:r>
      <w:bookmarkStart w:id="4" w:name="_Toc59625957"/>
      <w:bookmarkStart w:id="5" w:name="_Toc61869978"/>
    </w:p>
    <w:p w:rsidR="004E413A" w:rsidRPr="00111DAD" w:rsidRDefault="00111DAD" w:rsidP="00111DAD">
      <w:pPr>
        <w:pStyle w:val="3"/>
        <w:numPr>
          <w:ilvl w:val="0"/>
          <w:numId w:val="0"/>
        </w:numPr>
        <w:spacing w:line="276" w:lineRule="auto"/>
        <w:ind w:firstLine="709"/>
        <w:rPr>
          <w:i w:val="0"/>
        </w:rPr>
      </w:pPr>
      <w:r>
        <w:rPr>
          <w:i w:val="0"/>
        </w:rPr>
        <w:t xml:space="preserve">- </w:t>
      </w:r>
      <w:r w:rsidR="004E413A" w:rsidRPr="00111DAD">
        <w:rPr>
          <w:i w:val="0"/>
        </w:rPr>
        <w:t>Постоянная нагрузка</w:t>
      </w:r>
      <w:bookmarkEnd w:id="4"/>
      <w:bookmarkEnd w:id="5"/>
    </w:p>
    <w:p w:rsidR="004E413A" w:rsidRPr="00111DAD" w:rsidRDefault="00111DAD" w:rsidP="00111DAD">
      <w:pPr>
        <w:pStyle w:val="3"/>
        <w:numPr>
          <w:ilvl w:val="0"/>
          <w:numId w:val="0"/>
        </w:numPr>
        <w:spacing w:line="276" w:lineRule="auto"/>
        <w:ind w:firstLine="709"/>
        <w:rPr>
          <w:i w:val="0"/>
        </w:rPr>
      </w:pPr>
      <w:bookmarkStart w:id="6" w:name="_Toc59625958"/>
      <w:bookmarkStart w:id="7" w:name="_Toc61869979"/>
      <w:r>
        <w:rPr>
          <w:i w:val="0"/>
        </w:rPr>
        <w:t xml:space="preserve">- </w:t>
      </w:r>
      <w:r w:rsidR="004E413A" w:rsidRPr="00111DAD">
        <w:rPr>
          <w:i w:val="0"/>
        </w:rPr>
        <w:t>Полезная нагрузка</w:t>
      </w:r>
      <w:bookmarkEnd w:id="6"/>
      <w:bookmarkEnd w:id="7"/>
    </w:p>
    <w:p w:rsidR="004E413A" w:rsidRPr="00111DAD" w:rsidRDefault="00111DAD" w:rsidP="00111DAD">
      <w:pPr>
        <w:pStyle w:val="3"/>
        <w:numPr>
          <w:ilvl w:val="0"/>
          <w:numId w:val="0"/>
        </w:numPr>
        <w:spacing w:line="276" w:lineRule="auto"/>
        <w:ind w:left="709"/>
        <w:rPr>
          <w:i w:val="0"/>
        </w:rPr>
      </w:pPr>
      <w:bookmarkStart w:id="8" w:name="_Toc59625960"/>
      <w:bookmarkStart w:id="9" w:name="_Toc61869981"/>
      <w:r>
        <w:rPr>
          <w:i w:val="0"/>
        </w:rPr>
        <w:t xml:space="preserve">- </w:t>
      </w:r>
      <w:r w:rsidR="004E413A" w:rsidRPr="00111DAD">
        <w:rPr>
          <w:i w:val="0"/>
        </w:rPr>
        <w:t>Снеговая нагрузка</w:t>
      </w:r>
      <w:bookmarkEnd w:id="8"/>
      <w:bookmarkEnd w:id="9"/>
    </w:p>
    <w:p w:rsidR="00783ECC" w:rsidRPr="00CF11D5" w:rsidRDefault="00783ECC" w:rsidP="00120571">
      <w:bookmarkStart w:id="10" w:name="_Ref36410908"/>
      <w:bookmarkStart w:id="11" w:name="_Toc49506492"/>
      <w:r w:rsidRPr="00CF11D5">
        <w:t>Расчет конструкций покрытия на устойчивость к прогрессирующему обрушению выполняется на семь расчетных сценариев:</w:t>
      </w:r>
    </w:p>
    <w:p w:rsidR="00783ECC" w:rsidRPr="00CF11D5" w:rsidRDefault="00783ECC" w:rsidP="00783ECC">
      <w:r w:rsidRPr="00CF11D5">
        <w:t xml:space="preserve">– Сценарий 1. </w:t>
      </w:r>
      <w:r w:rsidR="004E413A" w:rsidRPr="00CF11D5">
        <w:t>Разрушение</w:t>
      </w:r>
      <w:r w:rsidRPr="00CF11D5">
        <w:t xml:space="preserve"> колонны А12, входящей в связевой блок.</w:t>
      </w:r>
    </w:p>
    <w:p w:rsidR="00783ECC" w:rsidRPr="00CF11D5" w:rsidRDefault="00783ECC" w:rsidP="00783ECC">
      <w:r w:rsidRPr="00CF11D5">
        <w:t xml:space="preserve">– Сценарий 2. </w:t>
      </w:r>
      <w:r w:rsidR="004E413A" w:rsidRPr="00CF11D5">
        <w:t>Разрушение</w:t>
      </w:r>
      <w:r w:rsidRPr="00CF11D5">
        <w:t xml:space="preserve"> опорной колонны основной фермы А13.</w:t>
      </w:r>
    </w:p>
    <w:p w:rsidR="00783ECC" w:rsidRPr="00CF11D5" w:rsidRDefault="00783ECC" w:rsidP="00783ECC">
      <w:r w:rsidRPr="00CF11D5">
        <w:t xml:space="preserve">– Сценарий 3. </w:t>
      </w:r>
      <w:r w:rsidR="004E413A" w:rsidRPr="00CF11D5">
        <w:t>Разрушение</w:t>
      </w:r>
      <w:r w:rsidRPr="00CF11D5">
        <w:t xml:space="preserve"> нижнего пояса основной фермы А13.</w:t>
      </w:r>
    </w:p>
    <w:p w:rsidR="00783ECC" w:rsidRPr="00CF11D5" w:rsidRDefault="00783ECC" w:rsidP="00783ECC">
      <w:r w:rsidRPr="00CF11D5">
        <w:t xml:space="preserve">– Сценарий 4. </w:t>
      </w:r>
      <w:r w:rsidR="004E413A" w:rsidRPr="00CF11D5">
        <w:t>Разрушение</w:t>
      </w:r>
      <w:r w:rsidRPr="00CF11D5">
        <w:t xml:space="preserve"> верхнего пояса основной фермы А13.</w:t>
      </w:r>
    </w:p>
    <w:p w:rsidR="00783ECC" w:rsidRPr="00CF11D5" w:rsidRDefault="00783ECC" w:rsidP="00783ECC">
      <w:r w:rsidRPr="00CF11D5">
        <w:t xml:space="preserve">– Сценарий 5. </w:t>
      </w:r>
      <w:r w:rsidR="004E413A" w:rsidRPr="00CF11D5">
        <w:t>Разрушение</w:t>
      </w:r>
      <w:r w:rsidRPr="00CF11D5">
        <w:t xml:space="preserve"> раскоса основной фермы А9.</w:t>
      </w:r>
    </w:p>
    <w:p w:rsidR="00783ECC" w:rsidRPr="00CF11D5" w:rsidRDefault="00783ECC" w:rsidP="00783ECC">
      <w:r w:rsidRPr="00CF11D5">
        <w:t xml:space="preserve">– Сценарий 6. </w:t>
      </w:r>
      <w:r w:rsidR="004E413A" w:rsidRPr="00CF11D5">
        <w:t>Разрушение</w:t>
      </w:r>
      <w:r w:rsidRPr="00CF11D5">
        <w:t xml:space="preserve"> продольной фермы А11-А10.</w:t>
      </w:r>
    </w:p>
    <w:p w:rsidR="00783ECC" w:rsidRPr="00CF11D5" w:rsidRDefault="00783ECC" w:rsidP="00783ECC">
      <w:r w:rsidRPr="00CF11D5">
        <w:t xml:space="preserve">– Сценарий 7. </w:t>
      </w:r>
      <w:r w:rsidR="004E413A" w:rsidRPr="00CF11D5">
        <w:t>Разрушение</w:t>
      </w:r>
      <w:r w:rsidRPr="00CF11D5">
        <w:t xml:space="preserve"> элемента связи А12-А11.</w:t>
      </w:r>
    </w:p>
    <w:p w:rsidR="00783ECC" w:rsidRPr="00CF11D5" w:rsidRDefault="00783ECC" w:rsidP="00783ECC"/>
    <w:p w:rsidR="00783ECC" w:rsidRPr="00CF11D5" w:rsidRDefault="00783ECC" w:rsidP="00120571">
      <w:pPr>
        <w:ind w:firstLine="0"/>
      </w:pPr>
    </w:p>
    <w:p w:rsidR="00783ECC" w:rsidRPr="00CF11D5" w:rsidRDefault="00783ECC" w:rsidP="004E413A">
      <w:r w:rsidRPr="00CF11D5">
        <w:lastRenderedPageBreak/>
        <w:t xml:space="preserve">В качестве базовых сценариев для монолитных железобетонных конструкций высотной части сооружения были выбраны следующие зоны расположения </w:t>
      </w:r>
      <w:r w:rsidR="004E413A" w:rsidRPr="00CF11D5">
        <w:t>локального разрушения</w:t>
      </w:r>
      <w:r w:rsidRPr="00CF11D5">
        <w:t>:</w:t>
      </w:r>
    </w:p>
    <w:p w:rsidR="00783ECC" w:rsidRPr="00CF11D5" w:rsidRDefault="00783ECC" w:rsidP="00783ECC">
      <w:r w:rsidRPr="00CF11D5">
        <w:t xml:space="preserve">– Сценарий 1. </w:t>
      </w:r>
      <w:r w:rsidR="004E413A" w:rsidRPr="00CF11D5">
        <w:t>Разрушение</w:t>
      </w:r>
      <w:r w:rsidRPr="00CF11D5">
        <w:t xml:space="preserve"> колонны по оси 132/И;</w:t>
      </w:r>
    </w:p>
    <w:p w:rsidR="00783ECC" w:rsidRPr="00CF11D5" w:rsidRDefault="00783ECC" w:rsidP="00783ECC">
      <w:r w:rsidRPr="00CF11D5">
        <w:t xml:space="preserve">– Сценарий 2. </w:t>
      </w:r>
      <w:r w:rsidR="004E413A" w:rsidRPr="00CF11D5">
        <w:t>Разрушение</w:t>
      </w:r>
      <w:r w:rsidRPr="00CF11D5">
        <w:t xml:space="preserve"> колонны по оси 152/И;</w:t>
      </w:r>
    </w:p>
    <w:p w:rsidR="00783ECC" w:rsidRPr="00CF11D5" w:rsidRDefault="00783ECC" w:rsidP="00783ECC">
      <w:r w:rsidRPr="00CF11D5">
        <w:t xml:space="preserve">– Сценарий 3. </w:t>
      </w:r>
      <w:r w:rsidR="004E413A" w:rsidRPr="00CF11D5">
        <w:t>Разрушение</w:t>
      </w:r>
      <w:r w:rsidRPr="00CF11D5">
        <w:t xml:space="preserve"> колонны по оси 136/Е;</w:t>
      </w:r>
    </w:p>
    <w:p w:rsidR="00783ECC" w:rsidRPr="00927D81" w:rsidRDefault="00783ECC" w:rsidP="00783ECC">
      <w:r w:rsidRPr="00CF11D5">
        <w:t xml:space="preserve">– Сценарий 4. </w:t>
      </w:r>
      <w:r w:rsidR="004E413A" w:rsidRPr="00CF11D5">
        <w:t>Разрушение</w:t>
      </w:r>
      <w:r w:rsidRPr="00CF11D5">
        <w:t xml:space="preserve"> колонны по оси 514/К3;</w:t>
      </w:r>
    </w:p>
    <w:p w:rsidR="00783ECC" w:rsidRPr="00CF11D5" w:rsidRDefault="00783ECC" w:rsidP="00783ECC">
      <w:r w:rsidRPr="00CF11D5">
        <w:t xml:space="preserve">– Сценарий 5. </w:t>
      </w:r>
      <w:r w:rsidR="004E413A" w:rsidRPr="00CF11D5">
        <w:t>Разрушение</w:t>
      </w:r>
      <w:r w:rsidRPr="00CF11D5">
        <w:t xml:space="preserve"> колонны по оси 236/И;</w:t>
      </w:r>
    </w:p>
    <w:p w:rsidR="00783ECC" w:rsidRPr="00CF11D5" w:rsidRDefault="00783ECC" w:rsidP="00783ECC">
      <w:r w:rsidRPr="00CF11D5">
        <w:t xml:space="preserve">– Сценарий 6. </w:t>
      </w:r>
      <w:r w:rsidR="004E413A" w:rsidRPr="00CF11D5">
        <w:t>Разрушение</w:t>
      </w:r>
      <w:r w:rsidRPr="00CF11D5">
        <w:t xml:space="preserve"> колонны по оси 232/Е;</w:t>
      </w:r>
    </w:p>
    <w:p w:rsidR="00783ECC" w:rsidRPr="00CF11D5" w:rsidRDefault="00783ECC" w:rsidP="00783ECC">
      <w:r w:rsidRPr="00CF11D5">
        <w:t xml:space="preserve">– Сценарий 7. </w:t>
      </w:r>
      <w:r w:rsidR="004E413A" w:rsidRPr="00CF11D5">
        <w:t>Разрушение</w:t>
      </w:r>
      <w:r w:rsidRPr="00CF11D5">
        <w:t xml:space="preserve"> колонны по оси 614/К3;</w:t>
      </w:r>
    </w:p>
    <w:p w:rsidR="00783ECC" w:rsidRPr="00CF11D5" w:rsidRDefault="00783ECC" w:rsidP="00783ECC">
      <w:r w:rsidRPr="00CF11D5">
        <w:t>– Сценарий</w:t>
      </w:r>
      <w:r w:rsidR="00057F73">
        <w:t xml:space="preserve"> 8</w:t>
      </w:r>
      <w:r w:rsidRPr="00CF11D5">
        <w:t xml:space="preserve"> </w:t>
      </w:r>
      <w:r w:rsidR="00057F73">
        <w:t>(</w:t>
      </w:r>
      <w:r w:rsidRPr="00CF11D5">
        <w:t>9</w:t>
      </w:r>
      <w:r w:rsidR="00057F73">
        <w:t>)</w:t>
      </w:r>
      <w:r w:rsidRPr="00CF11D5">
        <w:t xml:space="preserve">. </w:t>
      </w:r>
      <w:r w:rsidR="004E413A" w:rsidRPr="00CF11D5">
        <w:t>Разрушение</w:t>
      </w:r>
      <w:r w:rsidRPr="00CF11D5">
        <w:t xml:space="preserve"> колонны по оси 216/И;</w:t>
      </w:r>
    </w:p>
    <w:p w:rsidR="00783ECC" w:rsidRPr="00CF11D5" w:rsidRDefault="00783ECC" w:rsidP="00783ECC">
      <w:r w:rsidRPr="00CF11D5">
        <w:t>– Сценарий</w:t>
      </w:r>
      <w:r w:rsidR="00057F73">
        <w:t xml:space="preserve"> 9</w:t>
      </w:r>
      <w:r w:rsidRPr="00CF11D5">
        <w:t xml:space="preserve"> </w:t>
      </w:r>
      <w:r w:rsidR="00057F73">
        <w:t>(</w:t>
      </w:r>
      <w:r w:rsidRPr="00CF11D5">
        <w:t>10</w:t>
      </w:r>
      <w:r w:rsidR="00057F73">
        <w:t>)</w:t>
      </w:r>
      <w:r w:rsidRPr="00CF11D5">
        <w:t xml:space="preserve">. </w:t>
      </w:r>
      <w:r w:rsidR="004E413A" w:rsidRPr="00CF11D5">
        <w:t>Разрушение</w:t>
      </w:r>
      <w:r w:rsidRPr="00CF11D5">
        <w:t xml:space="preserve"> колонны по оси 224/И;</w:t>
      </w:r>
    </w:p>
    <w:p w:rsidR="00783ECC" w:rsidRPr="00CF11D5" w:rsidRDefault="00783ECC" w:rsidP="00783ECC">
      <w:r w:rsidRPr="00CF11D5">
        <w:t>– Сценарий</w:t>
      </w:r>
      <w:r w:rsidR="00057F73">
        <w:t xml:space="preserve"> 10</w:t>
      </w:r>
      <w:r w:rsidRPr="00CF11D5">
        <w:t xml:space="preserve"> </w:t>
      </w:r>
      <w:r w:rsidR="00057F73">
        <w:t>(</w:t>
      </w:r>
      <w:r w:rsidRPr="00CF11D5">
        <w:t>11</w:t>
      </w:r>
      <w:r w:rsidR="00057F73">
        <w:t>)</w:t>
      </w:r>
      <w:r w:rsidRPr="00CF11D5">
        <w:t xml:space="preserve">. </w:t>
      </w:r>
      <w:r w:rsidR="004E413A" w:rsidRPr="00CF11D5">
        <w:t>Разрушение</w:t>
      </w:r>
      <w:r w:rsidRPr="00CF11D5">
        <w:t xml:space="preserve"> колонны по оси 600/К3;</w:t>
      </w:r>
    </w:p>
    <w:p w:rsidR="00783ECC" w:rsidRPr="009F5669" w:rsidRDefault="00783ECC" w:rsidP="00783ECC">
      <w:r w:rsidRPr="00CF11D5">
        <w:t>– Сценарий</w:t>
      </w:r>
      <w:r w:rsidR="00057F73">
        <w:t xml:space="preserve"> 11</w:t>
      </w:r>
      <w:r w:rsidRPr="00CF11D5">
        <w:t xml:space="preserve"> </w:t>
      </w:r>
      <w:r w:rsidR="00057F73">
        <w:t>(</w:t>
      </w:r>
      <w:r w:rsidRPr="00CF11D5">
        <w:t>12</w:t>
      </w:r>
      <w:r w:rsidR="00057F73">
        <w:t>)</w:t>
      </w:r>
      <w:r w:rsidRPr="00CF11D5">
        <w:t xml:space="preserve">. </w:t>
      </w:r>
      <w:r w:rsidR="004E413A" w:rsidRPr="00CF11D5">
        <w:t>Разрушение</w:t>
      </w:r>
      <w:r w:rsidR="009F5669">
        <w:t xml:space="preserve"> колонны по оси 224/Е</w:t>
      </w:r>
      <w:r w:rsidR="009F5669" w:rsidRPr="009F5669">
        <w:t>.</w:t>
      </w:r>
    </w:p>
    <w:p w:rsidR="00783ECC" w:rsidRPr="00CF11D5" w:rsidRDefault="00783ECC" w:rsidP="00783ECC">
      <w:r w:rsidRPr="00CF11D5">
        <w:t xml:space="preserve">Для монолитных конструкций стилобатной части были разработаны следующие сценарии </w:t>
      </w:r>
      <w:r w:rsidR="004E413A" w:rsidRPr="00CF11D5">
        <w:t>локального разрушения</w:t>
      </w:r>
      <w:r w:rsidRPr="00CF11D5">
        <w:t>:</w:t>
      </w:r>
    </w:p>
    <w:p w:rsidR="00783ECC" w:rsidRPr="00CF11D5" w:rsidRDefault="00783ECC" w:rsidP="00783ECC">
      <w:r w:rsidRPr="00CF11D5">
        <w:t>– Сценарий</w:t>
      </w:r>
      <w:r w:rsidR="00057F73">
        <w:t xml:space="preserve"> 12</w:t>
      </w:r>
      <w:r w:rsidRPr="00CF11D5">
        <w:t xml:space="preserve">. </w:t>
      </w:r>
      <w:r w:rsidR="004E413A" w:rsidRPr="00CF11D5">
        <w:t>Разрушение</w:t>
      </w:r>
      <w:r w:rsidRPr="00CF11D5">
        <w:t xml:space="preserve"> колонны по оси 620/К10;</w:t>
      </w:r>
    </w:p>
    <w:p w:rsidR="00783ECC" w:rsidRPr="00CF11D5" w:rsidRDefault="00783ECC" w:rsidP="00783ECC">
      <w:r w:rsidRPr="00CF11D5">
        <w:t>– Сценарий</w:t>
      </w:r>
      <w:r w:rsidR="00057F73">
        <w:t xml:space="preserve"> 13</w:t>
      </w:r>
      <w:r w:rsidRPr="00CF11D5">
        <w:t xml:space="preserve">. </w:t>
      </w:r>
      <w:r w:rsidR="004E413A" w:rsidRPr="00CF11D5">
        <w:t>Разрушение</w:t>
      </w:r>
      <w:r w:rsidRPr="00CF11D5">
        <w:t xml:space="preserve"> колонны по оси 516/К11;</w:t>
      </w:r>
    </w:p>
    <w:p w:rsidR="00783ECC" w:rsidRPr="00CF11D5" w:rsidRDefault="00783ECC" w:rsidP="00783ECC">
      <w:r w:rsidRPr="00CF11D5">
        <w:t>– Сценарий</w:t>
      </w:r>
      <w:r w:rsidR="00057F73">
        <w:t xml:space="preserve"> 14</w:t>
      </w:r>
      <w:r w:rsidRPr="00CF11D5">
        <w:t xml:space="preserve">. </w:t>
      </w:r>
      <w:r w:rsidR="004E413A" w:rsidRPr="00CF11D5">
        <w:t>Разрушение</w:t>
      </w:r>
      <w:r w:rsidRPr="00CF11D5">
        <w:t xml:space="preserve"> колонны по оси 514/К4;</w:t>
      </w:r>
    </w:p>
    <w:p w:rsidR="00783ECC" w:rsidRPr="00CF11D5" w:rsidRDefault="00783ECC" w:rsidP="00C505DF">
      <w:r w:rsidRPr="00CF11D5">
        <w:t>– Сценарий</w:t>
      </w:r>
      <w:r w:rsidR="00057F73">
        <w:t xml:space="preserve"> 15</w:t>
      </w:r>
      <w:r w:rsidRPr="00CF11D5">
        <w:t xml:space="preserve">. </w:t>
      </w:r>
      <w:r w:rsidR="004E413A" w:rsidRPr="00CF11D5">
        <w:t>Разрушение</w:t>
      </w:r>
      <w:r w:rsidR="00C505DF">
        <w:t xml:space="preserve"> колонны по оси 726/К4;</w:t>
      </w:r>
    </w:p>
    <w:p w:rsidR="00783ECC" w:rsidRDefault="00783ECC" w:rsidP="00783ECC">
      <w:r w:rsidRPr="00CF11D5">
        <w:t>– Сценарий</w:t>
      </w:r>
      <w:r w:rsidR="00057F73">
        <w:t xml:space="preserve"> 16</w:t>
      </w:r>
      <w:r w:rsidRPr="00CF11D5">
        <w:t xml:space="preserve">. </w:t>
      </w:r>
      <w:r w:rsidR="004E413A" w:rsidRPr="00CF11D5">
        <w:t>Разрушение</w:t>
      </w:r>
      <w:r w:rsidRPr="00CF11D5">
        <w:t xml:space="preserve"> колонны по оси 708/К6.</w:t>
      </w:r>
    </w:p>
    <w:p w:rsidR="00CE7996" w:rsidRDefault="00CE7996" w:rsidP="00783ECC">
      <w:r>
        <w:t xml:space="preserve">Расчетные сценарии прогрессирующего обрушения для трибун сформированы для трех вариантов, в каждом из которых отказывает один из двух опорных узлов подтрибунных </w:t>
      </w:r>
      <w:r w:rsidR="005E5477">
        <w:t>косоуров</w:t>
      </w:r>
      <w:r>
        <w:t>:</w:t>
      </w:r>
    </w:p>
    <w:p w:rsidR="00CE7996" w:rsidRDefault="00CE7996" w:rsidP="00783ECC">
      <w:r>
        <w:t>– Сценарий 17. Разрушение опорного узла подтрибунно</w:t>
      </w:r>
      <w:r w:rsidR="005E5477">
        <w:t>го</w:t>
      </w:r>
      <w:r>
        <w:t xml:space="preserve"> </w:t>
      </w:r>
      <w:r w:rsidR="005E5477">
        <w:t>косоура</w:t>
      </w:r>
      <w:r>
        <w:t xml:space="preserve"> п</w:t>
      </w:r>
      <w:r w:rsidR="005E5477">
        <w:t>о оси 348 верхнего яруса трибун;</w:t>
      </w:r>
    </w:p>
    <w:p w:rsidR="00CE7996" w:rsidRPr="00CF11D5" w:rsidRDefault="00CE7996" w:rsidP="00CE7996">
      <w:r>
        <w:t xml:space="preserve">– Сценарий 18. Разрушение опорного узла </w:t>
      </w:r>
      <w:r w:rsidR="005E5477">
        <w:t xml:space="preserve">подтрибунного косоура </w:t>
      </w:r>
      <w:r>
        <w:t>по оси 356 нижн</w:t>
      </w:r>
      <w:r w:rsidR="005E5477">
        <w:t>его уровня нижнего яруса трибун;</w:t>
      </w:r>
    </w:p>
    <w:p w:rsidR="00CE7996" w:rsidRPr="00CF11D5" w:rsidRDefault="00CE7996" w:rsidP="00CE7996">
      <w:r>
        <w:t xml:space="preserve">– Сценарий 19. Разрушение опорного узла </w:t>
      </w:r>
      <w:r w:rsidR="005E5477">
        <w:t xml:space="preserve">подтрибунного косоура </w:t>
      </w:r>
      <w:r>
        <w:t>по оси 356 среднего яруса трибун.</w:t>
      </w:r>
    </w:p>
    <w:p w:rsidR="00CE7996" w:rsidRDefault="00CE7996" w:rsidP="00783ECC"/>
    <w:p w:rsidR="00CE7996" w:rsidRPr="00CF11D5" w:rsidRDefault="00CE7996" w:rsidP="00783ECC"/>
    <w:p w:rsidR="00D054F4" w:rsidRPr="00F2268D" w:rsidRDefault="00783ECC" w:rsidP="00C505DF">
      <w:pPr>
        <w:spacing w:after="200"/>
      </w:pPr>
      <w:r w:rsidRPr="00CF11D5">
        <w:br w:type="page"/>
      </w:r>
    </w:p>
    <w:p w:rsidR="00783ECC" w:rsidRPr="00CF11D5" w:rsidRDefault="00783ECC" w:rsidP="00C505DF">
      <w:pPr>
        <w:pStyle w:val="1"/>
        <w:numPr>
          <w:ilvl w:val="0"/>
          <w:numId w:val="0"/>
        </w:numPr>
        <w:ind w:left="709"/>
      </w:pPr>
      <w:bookmarkStart w:id="12" w:name="_Toc61869985"/>
      <w:r w:rsidRPr="00CF11D5">
        <w:lastRenderedPageBreak/>
        <w:t>Программное обеспечение расчетов</w:t>
      </w:r>
      <w:bookmarkEnd w:id="10"/>
      <w:bookmarkEnd w:id="11"/>
      <w:bookmarkEnd w:id="12"/>
    </w:p>
    <w:p w:rsidR="00783ECC" w:rsidRPr="00CF11D5" w:rsidRDefault="00783ECC" w:rsidP="00783ECC"/>
    <w:p w:rsidR="00783ECC" w:rsidRPr="00CF11D5" w:rsidRDefault="00783ECC" w:rsidP="00783ECC">
      <w:r w:rsidRPr="00CF11D5">
        <w:t>Для дискретизации по пространству и решения соответствующих краевых задач применяется универсальный и мощный современный численный метод механики – метод конечных элементов (МКЭ). Матричное уравнение движения геометрически линейной системы (малые перемещения и деформации) в форме метода перемещений</w:t>
      </w:r>
    </w:p>
    <w:p w:rsidR="00783ECC" w:rsidRPr="00CF11D5" w:rsidRDefault="00783ECC" w:rsidP="00783ECC">
      <w:pPr>
        <w:pStyle w:val="afb"/>
        <w:ind w:firstLine="709"/>
        <w:jc w:val="both"/>
      </w:pPr>
      <w:r w:rsidRPr="00CF11D5">
        <w:drawing>
          <wp:inline distT="0" distB="0" distL="0" distR="0" wp14:anchorId="2790CE76" wp14:editId="794D44A1">
            <wp:extent cx="3476625" cy="223520"/>
            <wp:effectExtent l="0" t="0" r="9525" b="5080"/>
            <wp:docPr id="374"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6625" cy="223520"/>
                    </a:xfrm>
                    <a:prstGeom prst="rect">
                      <a:avLst/>
                    </a:prstGeom>
                    <a:noFill/>
                    <a:ln>
                      <a:noFill/>
                    </a:ln>
                  </pic:spPr>
                </pic:pic>
              </a:graphicData>
            </a:graphic>
          </wp:inline>
        </w:drawing>
      </w:r>
    </w:p>
    <w:p w:rsidR="00783ECC" w:rsidRPr="00CF11D5" w:rsidRDefault="00783ECC" w:rsidP="00783ECC">
      <w:r w:rsidRPr="00CF11D5">
        <w:t>Для решения системы линейных алгебраических уравнений статического равновесия</w:t>
      </w:r>
    </w:p>
    <w:p w:rsidR="00783ECC" w:rsidRPr="00CF11D5" w:rsidRDefault="00783ECC" w:rsidP="00783ECC">
      <w:pPr>
        <w:pStyle w:val="afb"/>
        <w:ind w:firstLine="709"/>
        <w:jc w:val="both"/>
      </w:pPr>
      <w:r w:rsidRPr="00CF11D5">
        <w:drawing>
          <wp:inline distT="0" distB="0" distL="0" distR="0" wp14:anchorId="648C9B21" wp14:editId="0128222D">
            <wp:extent cx="1828800" cy="223520"/>
            <wp:effectExtent l="0" t="0" r="0" b="5080"/>
            <wp:docPr id="377"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223520"/>
                    </a:xfrm>
                    <a:prstGeom prst="rect">
                      <a:avLst/>
                    </a:prstGeom>
                    <a:noFill/>
                    <a:ln>
                      <a:noFill/>
                    </a:ln>
                  </pic:spPr>
                </pic:pic>
              </a:graphicData>
            </a:graphic>
          </wp:inline>
        </w:drawing>
      </w:r>
    </w:p>
    <w:p w:rsidR="00783ECC" w:rsidRPr="00CF11D5" w:rsidRDefault="00783ECC" w:rsidP="00783ECC">
      <w:pPr>
        <w:rPr>
          <w:b/>
        </w:rPr>
      </w:pPr>
      <w:r w:rsidRPr="00CF11D5">
        <w:t>В рамках спектральных динамических расчетов (в частности, и для анализа пульсационной составляющей ветровой нагрузки) или самостоятельно решается частная проблема собственных значений</w:t>
      </w:r>
    </w:p>
    <w:p w:rsidR="00783ECC" w:rsidRPr="00CF11D5" w:rsidRDefault="00783ECC" w:rsidP="00783ECC">
      <w:pPr>
        <w:pStyle w:val="afb"/>
        <w:ind w:firstLine="709"/>
        <w:jc w:val="both"/>
      </w:pPr>
      <w:r w:rsidRPr="00CF11D5">
        <w:drawing>
          <wp:inline distT="0" distB="0" distL="0" distR="0" wp14:anchorId="7BB3BC03" wp14:editId="3940AA9D">
            <wp:extent cx="1233170" cy="244475"/>
            <wp:effectExtent l="0" t="0" r="5080" b="3175"/>
            <wp:docPr id="378"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3170" cy="244475"/>
                    </a:xfrm>
                    <a:prstGeom prst="rect">
                      <a:avLst/>
                    </a:prstGeom>
                    <a:noFill/>
                    <a:ln>
                      <a:noFill/>
                    </a:ln>
                  </pic:spPr>
                </pic:pic>
              </a:graphicData>
            </a:graphic>
          </wp:inline>
        </w:drawing>
      </w:r>
    </w:p>
    <w:p w:rsidR="00783ECC" w:rsidRPr="00CF11D5" w:rsidRDefault="00783ECC" w:rsidP="00783ECC">
      <w:pPr>
        <w:pStyle w:val="afb"/>
        <w:ind w:firstLine="709"/>
        <w:jc w:val="both"/>
      </w:pPr>
      <w:r w:rsidRPr="00CF11D5">
        <w:rPr>
          <w:position w:val="-12"/>
        </w:rPr>
        <w:drawing>
          <wp:inline distT="0" distB="0" distL="0" distR="0" wp14:anchorId="00DE2115" wp14:editId="64A7C026">
            <wp:extent cx="1414145" cy="223520"/>
            <wp:effectExtent l="0" t="0" r="0" b="5080"/>
            <wp:docPr id="379"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4145" cy="223520"/>
                    </a:xfrm>
                    <a:prstGeom prst="rect">
                      <a:avLst/>
                    </a:prstGeom>
                    <a:noFill/>
                    <a:ln>
                      <a:noFill/>
                    </a:ln>
                  </pic:spPr>
                </pic:pic>
              </a:graphicData>
            </a:graphic>
          </wp:inline>
        </w:drawing>
      </w:r>
      <w:r w:rsidRPr="00CF11D5">
        <w:rPr>
          <w:position w:val="-12"/>
        </w:rPr>
        <w:drawing>
          <wp:inline distT="0" distB="0" distL="0" distR="0" wp14:anchorId="12836161" wp14:editId="553B7092">
            <wp:extent cx="1754505" cy="233680"/>
            <wp:effectExtent l="0" t="0" r="0" b="0"/>
            <wp:docPr id="380"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4505" cy="233680"/>
                    </a:xfrm>
                    <a:prstGeom prst="rect">
                      <a:avLst/>
                    </a:prstGeom>
                    <a:noFill/>
                    <a:ln>
                      <a:noFill/>
                    </a:ln>
                  </pic:spPr>
                </pic:pic>
              </a:graphicData>
            </a:graphic>
          </wp:inline>
        </w:drawing>
      </w:r>
    </w:p>
    <w:p w:rsidR="00783ECC" w:rsidRPr="00CF11D5" w:rsidRDefault="00783ECC" w:rsidP="00783ECC">
      <w:pPr>
        <w:rPr>
          <w:lang w:eastAsia="ru-RU"/>
        </w:rPr>
      </w:pPr>
      <w:r w:rsidRPr="00CF11D5">
        <w:rPr>
          <w:lang w:eastAsia="ru-RU"/>
        </w:rPr>
        <w:t xml:space="preserve">Определение напряженно-деформированного состояния при регламентированных статических и динамических (ветровая пульсация) воздействиях производится в верифицированном программном комплексе ЛИРА-САПР 2019 </w:t>
      </w:r>
      <w:r w:rsidRPr="00CF11D5">
        <w:rPr>
          <w:lang w:val="en-US" w:eastAsia="ru-RU"/>
        </w:rPr>
        <w:t>R</w:t>
      </w:r>
      <w:r w:rsidRPr="00CF11D5">
        <w:rPr>
          <w:lang w:eastAsia="ru-RU"/>
        </w:rPr>
        <w:t>2.1, реализующем метод конечных элементов, а также требования нормативных сводов правил по нагрузкам и воздействиям и на проектирование стальных и железобетонных конструкций.</w:t>
      </w:r>
    </w:p>
    <w:p w:rsidR="00783ECC" w:rsidRPr="00CF11D5" w:rsidRDefault="00783ECC" w:rsidP="00783ECC">
      <w:pPr>
        <w:spacing w:after="200"/>
      </w:pPr>
    </w:p>
    <w:p w:rsidR="00783ECC" w:rsidRPr="00CF11D5" w:rsidRDefault="00783ECC" w:rsidP="007721D5">
      <w:pPr>
        <w:pStyle w:val="1"/>
        <w:numPr>
          <w:ilvl w:val="0"/>
          <w:numId w:val="0"/>
        </w:numPr>
        <w:ind w:left="709"/>
      </w:pPr>
      <w:bookmarkStart w:id="13" w:name="_Ref59623783"/>
      <w:bookmarkStart w:id="14" w:name="_Toc61869988"/>
      <w:bookmarkStart w:id="15" w:name="_Toc58901720"/>
      <w:r w:rsidRPr="00CF11D5">
        <w:t>Расчетные модели</w:t>
      </w:r>
      <w:bookmarkEnd w:id="13"/>
      <w:bookmarkEnd w:id="14"/>
    </w:p>
    <w:p w:rsidR="00783ECC" w:rsidRPr="00CF11D5" w:rsidRDefault="00783ECC" w:rsidP="00783ECC">
      <w:pPr>
        <w:rPr>
          <w:lang w:eastAsia="ru-RU"/>
        </w:rPr>
      </w:pPr>
      <w:r w:rsidRPr="00CF11D5">
        <w:rPr>
          <w:lang w:eastAsia="ru-RU"/>
        </w:rPr>
        <w:t xml:space="preserve">Заказчиком переданы файлы AutoCAD с комплектом чертежей актуального проектного варианта объекта «Реконструкция Петербургского спортивно-концертного комплекса, расположенного по адресу: Российская Федерация, Санкт-Петербург, муниципальный округ Гагаринское, пр. Юрия Гагарина, д. 8, кадастровый номер 78:14:0007633:3082, в целях создания многофункционального спортивно-досугового комплекса». </w:t>
      </w:r>
    </w:p>
    <w:p w:rsidR="00783ECC" w:rsidRPr="00CF11D5" w:rsidRDefault="00783ECC" w:rsidP="00783ECC">
      <w:pPr>
        <w:rPr>
          <w:lang w:eastAsia="ru-RU"/>
        </w:rPr>
      </w:pPr>
      <w:r w:rsidRPr="00CF11D5">
        <w:rPr>
          <w:lang w:eastAsia="ru-RU"/>
        </w:rPr>
        <w:t xml:space="preserve">На основании анализа и обобщения этих материалов в программных комплексах ЛИРА-САПР были построены и верифицированы пространственные оболочечно-стержневые конечно-элементные модели несущих конструкций объекта. </w:t>
      </w:r>
    </w:p>
    <w:p w:rsidR="00783ECC" w:rsidRPr="000F4905" w:rsidRDefault="000F4905" w:rsidP="00783ECC">
      <w:pPr>
        <w:rPr>
          <w:lang w:val="en-US"/>
        </w:rPr>
      </w:pPr>
      <w:r>
        <w:rPr>
          <w:lang w:val="en-US"/>
        </w:rPr>
        <w:t>``````````````````````````</w:t>
      </w:r>
    </w:p>
    <w:p w:rsidR="00783ECC" w:rsidRPr="00CF11D5" w:rsidRDefault="00783ECC" w:rsidP="00783ECC">
      <w:pPr>
        <w:pStyle w:val="afb"/>
      </w:pPr>
      <w:r w:rsidRPr="00CF11D5">
        <w:lastRenderedPageBreak/>
        <w:drawing>
          <wp:inline distT="0" distB="0" distL="0" distR="0" wp14:anchorId="0CE9396A" wp14:editId="6A4C4968">
            <wp:extent cx="5940425" cy="4348178"/>
            <wp:effectExtent l="0" t="0" r="3175"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4348178"/>
                    </a:xfrm>
                    <a:prstGeom prst="rect">
                      <a:avLst/>
                    </a:prstGeom>
                  </pic:spPr>
                </pic:pic>
              </a:graphicData>
            </a:graphic>
          </wp:inline>
        </w:drawing>
      </w:r>
    </w:p>
    <w:p w:rsidR="00783ECC" w:rsidRPr="004648A5" w:rsidRDefault="004648A5" w:rsidP="00783ECC">
      <w:pPr>
        <w:pStyle w:val="af8"/>
        <w:rPr>
          <w:i w:val="0"/>
        </w:rPr>
      </w:pPr>
      <w:r w:rsidRPr="004648A5">
        <w:rPr>
          <w:i w:val="0"/>
        </w:rPr>
        <w:t>Ри</w:t>
      </w:r>
      <w:r>
        <w:rPr>
          <w:i w:val="0"/>
        </w:rPr>
        <w:t xml:space="preserve">с. </w:t>
      </w:r>
      <w:r w:rsidR="00B6647D" w:rsidRPr="004648A5">
        <w:rPr>
          <w:i w:val="0"/>
        </w:rPr>
        <w:fldChar w:fldCharType="begin"/>
      </w:r>
      <w:r w:rsidR="00B6647D" w:rsidRPr="004648A5">
        <w:rPr>
          <w:i w:val="0"/>
        </w:rPr>
        <w:instrText xml:space="preserve"> SEQ Рис. \* ARABIC \s 1 </w:instrText>
      </w:r>
      <w:r w:rsidR="00B6647D" w:rsidRPr="004648A5">
        <w:rPr>
          <w:i w:val="0"/>
        </w:rPr>
        <w:fldChar w:fldCharType="separate"/>
      </w:r>
      <w:r w:rsidR="00911CD0" w:rsidRPr="004648A5">
        <w:rPr>
          <w:i w:val="0"/>
          <w:noProof/>
        </w:rPr>
        <w:t>1</w:t>
      </w:r>
      <w:r w:rsidR="00B6647D" w:rsidRPr="004648A5">
        <w:rPr>
          <w:i w:val="0"/>
          <w:noProof/>
        </w:rPr>
        <w:fldChar w:fldCharType="end"/>
      </w:r>
      <w:r>
        <w:rPr>
          <w:i w:val="0"/>
          <w:noProof/>
        </w:rPr>
        <w:t>.</w:t>
      </w:r>
      <w:r w:rsidR="00783ECC" w:rsidRPr="004648A5">
        <w:rPr>
          <w:i w:val="0"/>
        </w:rPr>
        <w:t xml:space="preserve"> — Общий вид на полную расчетную модель</w:t>
      </w:r>
    </w:p>
    <w:p w:rsidR="00783ECC" w:rsidRPr="00CF11D5" w:rsidRDefault="00783ECC" w:rsidP="00783ECC"/>
    <w:p w:rsidR="00783ECC" w:rsidRPr="00CF11D5" w:rsidRDefault="00783ECC" w:rsidP="00783ECC">
      <w:pPr>
        <w:pStyle w:val="af8"/>
      </w:pPr>
    </w:p>
    <w:p w:rsidR="00783ECC" w:rsidRPr="00CF11D5" w:rsidRDefault="00783ECC" w:rsidP="007721D5">
      <w:pPr>
        <w:pStyle w:val="2"/>
        <w:numPr>
          <w:ilvl w:val="0"/>
          <w:numId w:val="0"/>
        </w:numPr>
      </w:pPr>
      <w:bookmarkStart w:id="16" w:name="_Toc61869990"/>
      <w:bookmarkEnd w:id="15"/>
      <w:r w:rsidRPr="00CF11D5">
        <w:t>Методика расчета на прогрессирующее обрушение стального покрытия</w:t>
      </w:r>
      <w:bookmarkEnd w:id="16"/>
    </w:p>
    <w:p w:rsidR="00783ECC" w:rsidRPr="00CF11D5" w:rsidRDefault="00783ECC" w:rsidP="00783ECC">
      <w:pPr>
        <w:rPr>
          <w:lang w:eastAsia="ru-RU"/>
        </w:rPr>
      </w:pPr>
      <w:r w:rsidRPr="00CF11D5">
        <w:rPr>
          <w:lang w:eastAsia="ru-RU"/>
        </w:rPr>
        <w:t>Расчет на устойчивость к прогрессирующему обрушению производится в статической постановке согласн</w:t>
      </w:r>
      <w:r w:rsidR="007721D5">
        <w:rPr>
          <w:lang w:eastAsia="ru-RU"/>
        </w:rPr>
        <w:t>о СП 385.1325800.2018</w:t>
      </w:r>
      <w:r w:rsidRPr="00CF11D5">
        <w:rPr>
          <w:lang w:eastAsia="ru-RU"/>
        </w:rPr>
        <w:t>. Расчетная комбинация включает гравитационные постоянные, длительные нагрузки и длительную часть кратковременных нагрузок, полученных с коэффициентом надежности по нагрузке 1.0.</w:t>
      </w:r>
    </w:p>
    <w:p w:rsidR="00783ECC" w:rsidRPr="00CF11D5" w:rsidRDefault="00783ECC" w:rsidP="00783ECC">
      <w:pPr>
        <w:rPr>
          <w:lang w:eastAsia="ru-RU"/>
        </w:rPr>
      </w:pPr>
      <w:r w:rsidRPr="00CF11D5">
        <w:rPr>
          <w:lang w:eastAsia="ru-RU"/>
        </w:rPr>
        <w:t>Расчет производится в линейно-упругой постановке с проверкой сечений элем</w:t>
      </w:r>
      <w:r w:rsidR="007721D5">
        <w:rPr>
          <w:lang w:eastAsia="ru-RU"/>
        </w:rPr>
        <w:t>ентов по критериям</w:t>
      </w:r>
      <w:r w:rsidRPr="00CF11D5">
        <w:rPr>
          <w:lang w:eastAsia="ru-RU"/>
        </w:rPr>
        <w:t>.</w:t>
      </w:r>
    </w:p>
    <w:p w:rsidR="00783ECC" w:rsidRPr="00CF11D5" w:rsidRDefault="00783ECC" w:rsidP="00783ECC">
      <w:pPr>
        <w:rPr>
          <w:lang w:eastAsia="ru-RU"/>
        </w:rPr>
      </w:pPr>
      <w:r w:rsidRPr="00CF11D5">
        <w:rPr>
          <w:lang w:eastAsia="ru-RU"/>
        </w:rPr>
        <w:t>На начальном этапе пр</w:t>
      </w:r>
      <w:r w:rsidR="007721D5">
        <w:rPr>
          <w:lang w:eastAsia="ru-RU"/>
        </w:rPr>
        <w:t xml:space="preserve">оизводится монтаж конструкции в </w:t>
      </w:r>
      <w:r w:rsidRPr="00CF11D5">
        <w:rPr>
          <w:lang w:eastAsia="ru-RU"/>
        </w:rPr>
        <w:t>состоянии</w:t>
      </w:r>
      <w:r w:rsidR="007721D5">
        <w:rPr>
          <w:lang w:eastAsia="ru-RU"/>
        </w:rPr>
        <w:t>,</w:t>
      </w:r>
      <w:r w:rsidRPr="00CF11D5">
        <w:rPr>
          <w:lang w:eastAsia="ru-RU"/>
        </w:rPr>
        <w:t xml:space="preserve"> соответствующем режиму работы на основные сочетания.</w:t>
      </w:r>
    </w:p>
    <w:p w:rsidR="00783ECC" w:rsidRPr="00CF11D5" w:rsidRDefault="00783ECC" w:rsidP="00783ECC">
      <w:pPr>
        <w:rPr>
          <w:lang w:eastAsia="ru-RU"/>
        </w:rPr>
      </w:pPr>
      <w:r w:rsidRPr="00CF11D5">
        <w:rPr>
          <w:lang w:eastAsia="ru-RU"/>
        </w:rPr>
        <w:t xml:space="preserve">На следующем этапе производится удаление конечного элемента по сценарию </w:t>
      </w:r>
      <w:r w:rsidR="004E413A" w:rsidRPr="00CF11D5">
        <w:rPr>
          <w:lang w:eastAsia="ru-RU"/>
        </w:rPr>
        <w:t>локального разрушения</w:t>
      </w:r>
      <w:r w:rsidRPr="00CF11D5">
        <w:rPr>
          <w:lang w:eastAsia="ru-RU"/>
        </w:rPr>
        <w:t>.</w:t>
      </w:r>
    </w:p>
    <w:p w:rsidR="00783ECC" w:rsidRPr="00CF11D5" w:rsidRDefault="00783ECC" w:rsidP="00783ECC">
      <w:pPr>
        <w:rPr>
          <w:lang w:eastAsia="ru-RU"/>
        </w:rPr>
      </w:pPr>
      <w:r w:rsidRPr="00CF11D5">
        <w:rPr>
          <w:lang w:eastAsia="ru-RU"/>
        </w:rPr>
        <w:t>По полученным усилиям на сформированные комбинации, включающие пять типов снеговых нагрузок, производится проверка сечений по первому предельному состоянию на соотве</w:t>
      </w:r>
      <w:r w:rsidR="007721D5">
        <w:rPr>
          <w:lang w:eastAsia="ru-RU"/>
        </w:rPr>
        <w:t>тствие требованиям СП 16.13330</w:t>
      </w:r>
      <w:r w:rsidRPr="00CF11D5">
        <w:rPr>
          <w:lang w:eastAsia="ru-RU"/>
        </w:rPr>
        <w:t>.</w:t>
      </w:r>
    </w:p>
    <w:p w:rsidR="00783ECC" w:rsidRPr="00CF11D5" w:rsidRDefault="00783ECC" w:rsidP="00783ECC"/>
    <w:p w:rsidR="00783ECC" w:rsidRPr="00CF11D5" w:rsidRDefault="00783ECC" w:rsidP="007721D5">
      <w:pPr>
        <w:pStyle w:val="2"/>
        <w:numPr>
          <w:ilvl w:val="0"/>
          <w:numId w:val="0"/>
        </w:numPr>
      </w:pPr>
      <w:bookmarkStart w:id="17" w:name="_Toc61869991"/>
      <w:r w:rsidRPr="00323C9A">
        <w:t>Методика</w:t>
      </w:r>
      <w:r w:rsidRPr="00CF11D5">
        <w:t xml:space="preserve"> расчета на прогрессирующее обрушение железобетонных конструкций</w:t>
      </w:r>
      <w:bookmarkEnd w:id="17"/>
    </w:p>
    <w:p w:rsidR="00783ECC" w:rsidRPr="00CF11D5" w:rsidRDefault="00783ECC" w:rsidP="00783ECC">
      <w:pPr>
        <w:rPr>
          <w:lang w:eastAsia="ru-RU"/>
        </w:rPr>
      </w:pPr>
      <w:r w:rsidRPr="00CF11D5">
        <w:rPr>
          <w:lang w:eastAsia="ru-RU"/>
        </w:rPr>
        <w:t>Расчет на устойчивость к прогрессирующему обрушению производится в статической постановке согласн</w:t>
      </w:r>
      <w:r w:rsidR="007721D5">
        <w:rPr>
          <w:lang w:eastAsia="ru-RU"/>
        </w:rPr>
        <w:t>о СП 385.1325800.2018</w:t>
      </w:r>
      <w:r w:rsidRPr="00CF11D5">
        <w:rPr>
          <w:lang w:eastAsia="ru-RU"/>
        </w:rPr>
        <w:t>. Расчетная комбинация включает гравитационные постоянные, длительные нагрузки и длительную часть кратковременных нагрузок, полученных с коэффициентом надежности по нагрузке 1.0.</w:t>
      </w:r>
    </w:p>
    <w:p w:rsidR="00783ECC" w:rsidRPr="00CF11D5" w:rsidRDefault="00783ECC" w:rsidP="00783ECC">
      <w:pPr>
        <w:rPr>
          <w:lang w:eastAsia="ru-RU"/>
        </w:rPr>
      </w:pPr>
      <w:r w:rsidRPr="00CF11D5">
        <w:rPr>
          <w:lang w:eastAsia="ru-RU"/>
        </w:rPr>
        <w:lastRenderedPageBreak/>
        <w:t>Расчет производится в линейно-упругой постановке с проверкой сечений элем</w:t>
      </w:r>
      <w:r w:rsidR="007721D5">
        <w:rPr>
          <w:lang w:eastAsia="ru-RU"/>
        </w:rPr>
        <w:t>ентов по критериям СП 63.13330</w:t>
      </w:r>
      <w:r w:rsidRPr="00CF11D5">
        <w:rPr>
          <w:lang w:eastAsia="ru-RU"/>
        </w:rPr>
        <w:t>.</w:t>
      </w:r>
    </w:p>
    <w:p w:rsidR="00783ECC" w:rsidRPr="00CF11D5" w:rsidRDefault="00783ECC" w:rsidP="00783ECC">
      <w:pPr>
        <w:rPr>
          <w:lang w:eastAsia="ru-RU"/>
        </w:rPr>
      </w:pPr>
      <w:r w:rsidRPr="00CF11D5">
        <w:rPr>
          <w:lang w:eastAsia="ru-RU"/>
        </w:rPr>
        <w:t>На начальном этапе производится монтаж конструкции в состоянии</w:t>
      </w:r>
      <w:r w:rsidR="007721D5">
        <w:rPr>
          <w:lang w:eastAsia="ru-RU"/>
        </w:rPr>
        <w:t>,</w:t>
      </w:r>
      <w:r w:rsidRPr="00CF11D5">
        <w:rPr>
          <w:lang w:eastAsia="ru-RU"/>
        </w:rPr>
        <w:t xml:space="preserve"> соответствующем режиму работы на основные сочетания.</w:t>
      </w:r>
    </w:p>
    <w:p w:rsidR="00783ECC" w:rsidRPr="00CF11D5" w:rsidRDefault="00783ECC" w:rsidP="00783ECC">
      <w:pPr>
        <w:rPr>
          <w:lang w:eastAsia="ru-RU"/>
        </w:rPr>
      </w:pPr>
      <w:r w:rsidRPr="00CF11D5">
        <w:rPr>
          <w:lang w:eastAsia="ru-RU"/>
        </w:rPr>
        <w:t xml:space="preserve">На следующем этапе производится удаление конечного элемента по сценарию </w:t>
      </w:r>
      <w:r w:rsidR="007721D5">
        <w:rPr>
          <w:lang w:eastAsia="ru-RU"/>
        </w:rPr>
        <w:t>локального разруше</w:t>
      </w:r>
      <w:r w:rsidR="004E413A" w:rsidRPr="00CF11D5">
        <w:rPr>
          <w:lang w:eastAsia="ru-RU"/>
        </w:rPr>
        <w:t>ния</w:t>
      </w:r>
      <w:r w:rsidR="007721D5">
        <w:rPr>
          <w:lang w:eastAsia="ru-RU"/>
        </w:rPr>
        <w:t>.</w:t>
      </w:r>
    </w:p>
    <w:p w:rsidR="00783ECC" w:rsidRPr="00CF11D5" w:rsidRDefault="00783ECC" w:rsidP="00783ECC">
      <w:pPr>
        <w:rPr>
          <w:lang w:eastAsia="ru-RU"/>
        </w:rPr>
      </w:pPr>
      <w:r w:rsidRPr="00CF11D5">
        <w:rPr>
          <w:lang w:eastAsia="ru-RU"/>
        </w:rPr>
        <w:t xml:space="preserve">По результатам расчетов производится расчет теоретического армирования конструкций по прочности, соответствующего особым комбинациям при </w:t>
      </w:r>
      <w:r w:rsidR="004E413A" w:rsidRPr="00CF11D5">
        <w:rPr>
          <w:lang w:eastAsia="ru-RU"/>
        </w:rPr>
        <w:t>локальном разрушении</w:t>
      </w:r>
      <w:r w:rsidRPr="00CF11D5">
        <w:rPr>
          <w:lang w:eastAsia="ru-RU"/>
        </w:rPr>
        <w:t>, которое сравнивается с расчетным армированием, полученным для основных сочетаний нагрузок и воздействий.</w:t>
      </w:r>
    </w:p>
    <w:p w:rsidR="00256DC7" w:rsidRDefault="00256DC7" w:rsidP="000F047C">
      <w:pPr>
        <w:pStyle w:val="1"/>
        <w:numPr>
          <w:ilvl w:val="0"/>
          <w:numId w:val="0"/>
        </w:numPr>
        <w:ind w:left="709"/>
      </w:pPr>
      <w:bookmarkStart w:id="18" w:name="_Ref59623815"/>
      <w:bookmarkStart w:id="19" w:name="_Toc61869992"/>
    </w:p>
    <w:p w:rsidR="00783ECC" w:rsidRPr="00CF11D5" w:rsidRDefault="00783ECC" w:rsidP="000F047C">
      <w:pPr>
        <w:pStyle w:val="1"/>
        <w:numPr>
          <w:ilvl w:val="0"/>
          <w:numId w:val="0"/>
        </w:numPr>
        <w:ind w:left="709"/>
      </w:pPr>
      <w:r w:rsidRPr="00CF11D5">
        <w:t>Результаты расчетов</w:t>
      </w:r>
      <w:r w:rsidRPr="004648A5">
        <w:t xml:space="preserve"> </w:t>
      </w:r>
      <w:r w:rsidRPr="00CF11D5">
        <w:t>стального покрытия</w:t>
      </w:r>
      <w:bookmarkEnd w:id="18"/>
      <w:bookmarkEnd w:id="19"/>
    </w:p>
    <w:p w:rsidR="00CF0DB0" w:rsidRPr="00CF11D5" w:rsidRDefault="00CF0DB0" w:rsidP="00CF0DB0">
      <w:r w:rsidRPr="00CF11D5">
        <w:t>По результатам проведенных проверок коэффициенты несущей способности сечений по первому предельному состоянию (прочность,</w:t>
      </w:r>
      <w:r>
        <w:t xml:space="preserve"> устойчивость) не превышают 0.9</w:t>
      </w:r>
      <w:r w:rsidRPr="00CF11D5">
        <w:t>8 (в запас не учитывается коэффициент условий работы, повышающий расчетное сопротивление</w:t>
      </w:r>
      <w:r>
        <w:t xml:space="preserve"> стали</w:t>
      </w:r>
      <w:r w:rsidR="004648A5">
        <w:t xml:space="preserve"> и равный 1.1 по 5.3</w:t>
      </w:r>
      <w:r w:rsidRPr="00CF11D5">
        <w:t>), кроме случая по сценарию 3.</w:t>
      </w:r>
    </w:p>
    <w:p w:rsidR="00CF0DB0" w:rsidRPr="00CF11D5" w:rsidRDefault="00CF0DB0" w:rsidP="00CF0DB0">
      <w:r w:rsidRPr="00CF11D5">
        <w:t xml:space="preserve">Для </w:t>
      </w:r>
      <w:r>
        <w:t>сценария 3</w:t>
      </w:r>
      <w:r w:rsidRPr="00CF11D5">
        <w:t>, согласно проведенным расчетам, раскосы связевых ферм (отмечен коэффициент превышения несущей способности 1.18) сохраняют устойчивое положение, напряжения</w:t>
      </w:r>
      <w:r>
        <w:t xml:space="preserve"> и деформации</w:t>
      </w:r>
      <w:r w:rsidRPr="00CF11D5">
        <w:t xml:space="preserve"> находятся в пределах упругой работы, что объясняется запасом по действительной</w:t>
      </w:r>
      <w:r>
        <w:t xml:space="preserve"> схеме</w:t>
      </w:r>
      <w:r w:rsidRPr="00CF11D5">
        <w:t xml:space="preserve"> работе стержня</w:t>
      </w:r>
      <w:r>
        <w:t xml:space="preserve"> и запасе определения расчетной длины</w:t>
      </w:r>
      <w:r w:rsidRPr="00CF11D5">
        <w:t xml:space="preserve">. </w:t>
      </w:r>
    </w:p>
    <w:p w:rsidR="00C87112" w:rsidRDefault="00CF0DB0" w:rsidP="00CF0DB0">
      <w:r w:rsidRPr="00CF11D5">
        <w:t xml:space="preserve">Нижний пояс связевой фермы по отдельному сечению имеет переход в пластическую стадию, что отмечается в проверках по СП 16.13330 с коэффициентом превышения 1.25 по несущей способности, но напряжения (398 </w:t>
      </w:r>
      <w:r>
        <w:t xml:space="preserve">МПа при 432.5 МПа предельных) и </w:t>
      </w:r>
      <w:r w:rsidRPr="00CF11D5">
        <w:t xml:space="preserve">деформации </w:t>
      </w:r>
      <w:r w:rsidRPr="00065A6D">
        <w:t>(</w:t>
      </w:r>
      <w:r>
        <w:t xml:space="preserve">пластические деформации </w:t>
      </w:r>
      <w:r w:rsidRPr="00065A6D">
        <w:t>1.4%</w:t>
      </w:r>
      <w:r>
        <w:t xml:space="preserve"> при</w:t>
      </w:r>
      <w:r w:rsidRPr="00CF11D5">
        <w:t xml:space="preserve"> 7%</w:t>
      </w:r>
      <w:r>
        <w:t xml:space="preserve"> предельных)</w:t>
      </w:r>
      <w:r w:rsidRPr="00CF11D5">
        <w:t xml:space="preserve"> не выходят за регламентированные С</w:t>
      </w:r>
      <w:r w:rsidR="00C87112">
        <w:t>П 385.1325800.2018.</w:t>
      </w:r>
    </w:p>
    <w:p w:rsidR="00C87112" w:rsidRDefault="00C87112" w:rsidP="00CF0DB0">
      <w:r w:rsidRPr="00CF11D5">
        <w:drawing>
          <wp:inline distT="0" distB="0" distL="0" distR="0" wp14:anchorId="619D2957" wp14:editId="6547D9C0">
            <wp:extent cx="5939790" cy="2849245"/>
            <wp:effectExtent l="0" t="0" r="3810" b="8255"/>
            <wp:docPr id="26"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39790" cy="2849245"/>
                    </a:xfrm>
                    <a:prstGeom prst="rect">
                      <a:avLst/>
                    </a:prstGeom>
                  </pic:spPr>
                </pic:pic>
              </a:graphicData>
            </a:graphic>
          </wp:inline>
        </w:drawing>
      </w:r>
    </w:p>
    <w:p w:rsidR="00C87112" w:rsidRPr="00C87112" w:rsidRDefault="00C87112" w:rsidP="00C87112">
      <w:pPr>
        <w:pStyle w:val="af8"/>
        <w:rPr>
          <w:i w:val="0"/>
        </w:rPr>
      </w:pPr>
      <w:r w:rsidRPr="00C87112">
        <w:rPr>
          <w:i w:val="0"/>
        </w:rPr>
        <w:t xml:space="preserve">Рис. </w:t>
      </w:r>
      <w:r>
        <w:rPr>
          <w:i w:val="0"/>
        </w:rPr>
        <w:t>2</w:t>
      </w:r>
      <w:r w:rsidRPr="00C87112">
        <w:rPr>
          <w:i w:val="0"/>
        </w:rPr>
        <w:t xml:space="preserve">. — </w:t>
      </w:r>
      <w:r w:rsidRPr="00C87112">
        <w:rPr>
          <w:i w:val="0"/>
        </w:rPr>
        <w:fldChar w:fldCharType="begin"/>
      </w:r>
      <w:r w:rsidRPr="00C87112">
        <w:rPr>
          <w:i w:val="0"/>
        </w:rPr>
        <w:instrText xml:space="preserve"> STYLEREF  "Заголовок 2"  \* MERGEFORMAT </w:instrText>
      </w:r>
      <w:r w:rsidRPr="00C87112">
        <w:rPr>
          <w:i w:val="0"/>
        </w:rPr>
        <w:fldChar w:fldCharType="separate"/>
      </w:r>
      <w:r w:rsidRPr="00C87112">
        <w:rPr>
          <w:i w:val="0"/>
          <w:noProof/>
        </w:rPr>
        <w:t>Сценарий 3. Разрушение нижнего пояса основной фермы А13</w:t>
      </w:r>
      <w:r w:rsidRPr="00C87112">
        <w:rPr>
          <w:i w:val="0"/>
          <w:noProof/>
        </w:rPr>
        <w:fldChar w:fldCharType="end"/>
      </w:r>
      <w:r w:rsidRPr="00C87112">
        <w:rPr>
          <w:i w:val="0"/>
        </w:rPr>
        <w:t>. Вертикальные перемещения, мм</w:t>
      </w:r>
    </w:p>
    <w:p w:rsidR="00C87112" w:rsidRDefault="00C87112" w:rsidP="00CF0DB0"/>
    <w:p w:rsidR="00CF0DB0" w:rsidRPr="00CF11D5" w:rsidRDefault="00CF0DB0" w:rsidP="00C87112">
      <w:pPr>
        <w:jc w:val="left"/>
        <w:rPr>
          <w:lang w:eastAsia="ru-RU"/>
        </w:rPr>
      </w:pPr>
      <w:r w:rsidRPr="00CF11D5">
        <w:t xml:space="preserve"> </w:t>
      </w:r>
    </w:p>
    <w:p w:rsidR="000F047C" w:rsidRDefault="000F047C" w:rsidP="000F047C">
      <w:pPr>
        <w:pStyle w:val="2"/>
        <w:numPr>
          <w:ilvl w:val="0"/>
          <w:numId w:val="0"/>
        </w:numPr>
        <w:rPr>
          <w:rFonts w:eastAsiaTheme="minorHAnsi" w:cstheme="minorBidi"/>
          <w:b w:val="0"/>
          <w:bCs w:val="0"/>
          <w:szCs w:val="22"/>
        </w:rPr>
      </w:pPr>
      <w:bookmarkStart w:id="20" w:name="_Toc61869993"/>
    </w:p>
    <w:p w:rsidR="00783ECC" w:rsidRDefault="00927D81" w:rsidP="000F047C">
      <w:pPr>
        <w:pStyle w:val="1"/>
        <w:numPr>
          <w:ilvl w:val="0"/>
          <w:numId w:val="0"/>
        </w:numPr>
        <w:ind w:left="709"/>
      </w:pPr>
      <w:bookmarkStart w:id="21" w:name="_Toc61870000"/>
      <w:bookmarkEnd w:id="20"/>
      <w:r>
        <w:t>Результаты расчета железобетонных конструкций</w:t>
      </w:r>
      <w:bookmarkEnd w:id="21"/>
    </w:p>
    <w:p w:rsidR="00927D81" w:rsidRDefault="00920F72" w:rsidP="00927D81">
      <w:r>
        <w:t>На основании проектных данных были разработаны и проанализированы 16 сценариев инициирующего локального разрушения с целью исследования устойчивости железобетонных конструкций к прогрессирующему обрушению.</w:t>
      </w:r>
    </w:p>
    <w:p w:rsidR="00920F72" w:rsidRDefault="00920F72" w:rsidP="00927D81">
      <w:r>
        <w:t xml:space="preserve">В </w:t>
      </w:r>
      <w:r>
        <w:fldChar w:fldCharType="begin"/>
      </w:r>
      <w:r>
        <w:instrText xml:space="preserve"> REF  _Ref60071293 \* Lower \h </w:instrText>
      </w:r>
      <w:r>
        <w:fldChar w:fldCharType="separate"/>
      </w:r>
      <w:r w:rsidR="00911CD0">
        <w:t xml:space="preserve">таб. </w:t>
      </w:r>
      <w:r w:rsidR="00911CD0">
        <w:rPr>
          <w:noProof/>
        </w:rPr>
        <w:t>6</w:t>
      </w:r>
      <w:r w:rsidR="00911CD0">
        <w:t>.</w:t>
      </w:r>
      <w:r w:rsidR="00911CD0">
        <w:rPr>
          <w:noProof/>
        </w:rPr>
        <w:t>1</w:t>
      </w:r>
      <w:r>
        <w:fldChar w:fldCharType="end"/>
      </w:r>
      <w:r>
        <w:t xml:space="preserve"> представлены сводные данные по изменению отношения площадей расчетного армирования по расчету на прогрессирующее обрушение к расчету на основные комбинации.</w:t>
      </w:r>
    </w:p>
    <w:p w:rsidR="00920F72" w:rsidRDefault="00920F72" w:rsidP="00927D81"/>
    <w:p w:rsidR="00920F72" w:rsidRDefault="00A91FAE" w:rsidP="00920F72">
      <w:pPr>
        <w:pStyle w:val="af8"/>
      </w:pPr>
      <w:bookmarkStart w:id="22" w:name="_Ref60071293"/>
      <w:r>
        <w:t>Таб</w:t>
      </w:r>
      <w:r w:rsidR="00920F72">
        <w:t>.</w:t>
      </w:r>
      <w:fldSimple w:instr=" SEQ Таб. \* ARABIC \s 1 ">
        <w:r w:rsidR="00911CD0">
          <w:rPr>
            <w:noProof/>
          </w:rPr>
          <w:t>1</w:t>
        </w:r>
      </w:fldSimple>
      <w:bookmarkEnd w:id="22"/>
      <w:r w:rsidR="00920F72">
        <w:t xml:space="preserve"> — Сводные данные по отношению расчетного армирования по расчету на прогрессирующее обрушение к расчету на основные комбинации</w:t>
      </w:r>
    </w:p>
    <w:tbl>
      <w:tblPr>
        <w:tblStyle w:val="11"/>
        <w:tblW w:w="5000" w:type="pct"/>
        <w:tblLook w:val="04A0" w:firstRow="1" w:lastRow="0" w:firstColumn="1" w:lastColumn="0" w:noHBand="0" w:noVBand="1"/>
      </w:tblPr>
      <w:tblGrid>
        <w:gridCol w:w="1524"/>
        <w:gridCol w:w="1325"/>
        <w:gridCol w:w="1325"/>
        <w:gridCol w:w="2880"/>
        <w:gridCol w:w="2291"/>
      </w:tblGrid>
      <w:tr w:rsidR="00920F72" w:rsidRPr="00920F72" w:rsidTr="00920F72">
        <w:trPr>
          <w:trHeight w:val="315"/>
        </w:trPr>
        <w:tc>
          <w:tcPr>
            <w:tcW w:w="815" w:type="pct"/>
            <w:hideMark/>
          </w:tcPr>
          <w:p w:rsidR="00920F72" w:rsidRPr="00920F72" w:rsidRDefault="00920F72" w:rsidP="00920F72">
            <w:pPr>
              <w:pStyle w:val="-"/>
              <w:rPr>
                <w:lang w:eastAsia="ru-RU"/>
              </w:rPr>
            </w:pPr>
            <w:r w:rsidRPr="00920F72">
              <w:rPr>
                <w:lang w:eastAsia="ru-RU"/>
              </w:rPr>
              <w:t>Сценарий</w:t>
            </w:r>
          </w:p>
        </w:tc>
        <w:tc>
          <w:tcPr>
            <w:tcW w:w="709" w:type="pct"/>
            <w:hideMark/>
          </w:tcPr>
          <w:p w:rsidR="00920F72" w:rsidRPr="00920F72" w:rsidRDefault="00920F72" w:rsidP="00920F72">
            <w:pPr>
              <w:pStyle w:val="-"/>
              <w:rPr>
                <w:lang w:eastAsia="ru-RU"/>
              </w:rPr>
            </w:pPr>
            <w:r w:rsidRPr="00920F72">
              <w:rPr>
                <w:lang w:eastAsia="ru-RU"/>
              </w:rPr>
              <w:t>Нижняя</w:t>
            </w:r>
          </w:p>
        </w:tc>
        <w:tc>
          <w:tcPr>
            <w:tcW w:w="709" w:type="pct"/>
            <w:hideMark/>
          </w:tcPr>
          <w:p w:rsidR="00920F72" w:rsidRPr="00920F72" w:rsidRDefault="00920F72" w:rsidP="00920F72">
            <w:pPr>
              <w:pStyle w:val="-"/>
              <w:rPr>
                <w:lang w:eastAsia="ru-RU"/>
              </w:rPr>
            </w:pPr>
            <w:r w:rsidRPr="00920F72">
              <w:rPr>
                <w:lang w:eastAsia="ru-RU"/>
              </w:rPr>
              <w:t>Верхняя</w:t>
            </w:r>
          </w:p>
        </w:tc>
        <w:tc>
          <w:tcPr>
            <w:tcW w:w="1541" w:type="pct"/>
            <w:hideMark/>
          </w:tcPr>
          <w:p w:rsidR="00920F72" w:rsidRPr="00920F72" w:rsidRDefault="00920F72" w:rsidP="00920F72">
            <w:pPr>
              <w:pStyle w:val="-"/>
              <w:rPr>
                <w:lang w:eastAsia="ru-RU"/>
              </w:rPr>
            </w:pPr>
            <w:r w:rsidRPr="00920F72">
              <w:rPr>
                <w:lang w:eastAsia="ru-RU"/>
              </w:rPr>
              <w:t>Процент растяжения</w:t>
            </w:r>
          </w:p>
        </w:tc>
        <w:tc>
          <w:tcPr>
            <w:tcW w:w="1226" w:type="pct"/>
            <w:hideMark/>
          </w:tcPr>
          <w:p w:rsidR="00920F72" w:rsidRPr="00920F72" w:rsidRDefault="00920F72" w:rsidP="00920F72">
            <w:pPr>
              <w:pStyle w:val="-"/>
              <w:rPr>
                <w:lang w:eastAsia="ru-RU"/>
              </w:rPr>
            </w:pPr>
            <w:r w:rsidRPr="00920F72">
              <w:rPr>
                <w:lang w:eastAsia="ru-RU"/>
              </w:rPr>
              <w:t>Процент сжатия</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1</w:t>
            </w:r>
          </w:p>
        </w:tc>
        <w:tc>
          <w:tcPr>
            <w:tcW w:w="709" w:type="pct"/>
            <w:vAlign w:val="center"/>
            <w:hideMark/>
          </w:tcPr>
          <w:p w:rsidR="00F76AD5" w:rsidRDefault="00F76AD5" w:rsidP="00F76AD5">
            <w:pPr>
              <w:pStyle w:val="--"/>
            </w:pPr>
            <w:r>
              <w:t>3.18</w:t>
            </w:r>
          </w:p>
        </w:tc>
        <w:tc>
          <w:tcPr>
            <w:tcW w:w="709" w:type="pct"/>
            <w:vAlign w:val="center"/>
            <w:hideMark/>
          </w:tcPr>
          <w:p w:rsidR="00F76AD5" w:rsidRDefault="00F76AD5" w:rsidP="00F76AD5">
            <w:pPr>
              <w:pStyle w:val="--"/>
            </w:pPr>
            <w:r>
              <w:t>1.31</w:t>
            </w:r>
          </w:p>
        </w:tc>
        <w:tc>
          <w:tcPr>
            <w:tcW w:w="1541" w:type="pct"/>
            <w:vAlign w:val="center"/>
            <w:hideMark/>
          </w:tcPr>
          <w:p w:rsidR="00F76AD5" w:rsidRDefault="00F76AD5" w:rsidP="00F76AD5">
            <w:pPr>
              <w:pStyle w:val="--"/>
            </w:pPr>
            <w:r>
              <w:t>4.97</w:t>
            </w:r>
          </w:p>
        </w:tc>
        <w:tc>
          <w:tcPr>
            <w:tcW w:w="1226" w:type="pct"/>
            <w:vAlign w:val="center"/>
            <w:hideMark/>
          </w:tcPr>
          <w:p w:rsidR="00F76AD5" w:rsidRDefault="00F76AD5" w:rsidP="00F76AD5">
            <w:pPr>
              <w:pStyle w:val="--"/>
            </w:pPr>
            <w:r>
              <w:t>0.35</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2</w:t>
            </w:r>
          </w:p>
        </w:tc>
        <w:tc>
          <w:tcPr>
            <w:tcW w:w="709" w:type="pct"/>
            <w:vAlign w:val="center"/>
            <w:hideMark/>
          </w:tcPr>
          <w:p w:rsidR="00F76AD5" w:rsidRDefault="00F76AD5" w:rsidP="00F76AD5">
            <w:pPr>
              <w:pStyle w:val="--"/>
            </w:pPr>
            <w:r>
              <w:t>1.57</w:t>
            </w:r>
          </w:p>
        </w:tc>
        <w:tc>
          <w:tcPr>
            <w:tcW w:w="709" w:type="pct"/>
            <w:vAlign w:val="center"/>
            <w:hideMark/>
          </w:tcPr>
          <w:p w:rsidR="00F76AD5" w:rsidRDefault="00F76AD5" w:rsidP="00F76AD5">
            <w:pPr>
              <w:pStyle w:val="--"/>
            </w:pPr>
            <w:r>
              <w:t>1.50</w:t>
            </w:r>
          </w:p>
        </w:tc>
        <w:tc>
          <w:tcPr>
            <w:tcW w:w="1541" w:type="pct"/>
            <w:vAlign w:val="center"/>
            <w:hideMark/>
          </w:tcPr>
          <w:p w:rsidR="00F76AD5" w:rsidRDefault="00F76AD5" w:rsidP="00F76AD5">
            <w:pPr>
              <w:pStyle w:val="--"/>
            </w:pPr>
            <w:r>
              <w:t>5.91</w:t>
            </w:r>
          </w:p>
        </w:tc>
        <w:tc>
          <w:tcPr>
            <w:tcW w:w="1226" w:type="pct"/>
            <w:vAlign w:val="center"/>
            <w:hideMark/>
          </w:tcPr>
          <w:p w:rsidR="00F76AD5" w:rsidRDefault="00F76AD5" w:rsidP="00F76AD5">
            <w:pPr>
              <w:pStyle w:val="--"/>
            </w:pPr>
            <w:r>
              <w:t>0.98</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3</w:t>
            </w:r>
          </w:p>
        </w:tc>
        <w:tc>
          <w:tcPr>
            <w:tcW w:w="709" w:type="pct"/>
            <w:vAlign w:val="center"/>
            <w:hideMark/>
          </w:tcPr>
          <w:p w:rsidR="00F76AD5" w:rsidRDefault="00F76AD5" w:rsidP="00F76AD5">
            <w:pPr>
              <w:pStyle w:val="--"/>
            </w:pPr>
            <w:r>
              <w:t>2.00</w:t>
            </w:r>
          </w:p>
        </w:tc>
        <w:tc>
          <w:tcPr>
            <w:tcW w:w="709" w:type="pct"/>
            <w:vAlign w:val="center"/>
            <w:hideMark/>
          </w:tcPr>
          <w:p w:rsidR="00F76AD5" w:rsidRDefault="00F76AD5" w:rsidP="00F76AD5">
            <w:pPr>
              <w:pStyle w:val="--"/>
            </w:pPr>
            <w:r>
              <w:t>0.73</w:t>
            </w:r>
          </w:p>
        </w:tc>
        <w:tc>
          <w:tcPr>
            <w:tcW w:w="1541" w:type="pct"/>
            <w:vAlign w:val="center"/>
            <w:hideMark/>
          </w:tcPr>
          <w:p w:rsidR="00F76AD5" w:rsidRDefault="00F76AD5" w:rsidP="00F76AD5">
            <w:pPr>
              <w:pStyle w:val="--"/>
            </w:pPr>
            <w:r>
              <w:t>4.77</w:t>
            </w:r>
          </w:p>
        </w:tc>
        <w:tc>
          <w:tcPr>
            <w:tcW w:w="1226" w:type="pct"/>
            <w:vAlign w:val="center"/>
            <w:hideMark/>
          </w:tcPr>
          <w:p w:rsidR="00F76AD5" w:rsidRDefault="00F76AD5" w:rsidP="00F76AD5">
            <w:pPr>
              <w:pStyle w:val="--"/>
            </w:pPr>
            <w:r>
              <w:t>0.29</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4</w:t>
            </w:r>
          </w:p>
        </w:tc>
        <w:tc>
          <w:tcPr>
            <w:tcW w:w="709" w:type="pct"/>
            <w:vAlign w:val="center"/>
            <w:hideMark/>
          </w:tcPr>
          <w:p w:rsidR="00F76AD5" w:rsidRDefault="00F76AD5" w:rsidP="00F76AD5">
            <w:pPr>
              <w:pStyle w:val="--"/>
            </w:pPr>
            <w:r>
              <w:t>3.60</w:t>
            </w:r>
          </w:p>
        </w:tc>
        <w:tc>
          <w:tcPr>
            <w:tcW w:w="709" w:type="pct"/>
            <w:vAlign w:val="center"/>
            <w:hideMark/>
          </w:tcPr>
          <w:p w:rsidR="00F76AD5" w:rsidRDefault="00F76AD5" w:rsidP="00F76AD5">
            <w:pPr>
              <w:pStyle w:val="--"/>
            </w:pPr>
            <w:r>
              <w:t>1.45</w:t>
            </w:r>
          </w:p>
        </w:tc>
        <w:tc>
          <w:tcPr>
            <w:tcW w:w="1541" w:type="pct"/>
            <w:vAlign w:val="center"/>
            <w:hideMark/>
          </w:tcPr>
          <w:p w:rsidR="00F76AD5" w:rsidRDefault="00F76AD5" w:rsidP="00F76AD5">
            <w:pPr>
              <w:pStyle w:val="--"/>
            </w:pPr>
            <w:r>
              <w:t>4.59</w:t>
            </w:r>
          </w:p>
        </w:tc>
        <w:tc>
          <w:tcPr>
            <w:tcW w:w="1226" w:type="pct"/>
            <w:vAlign w:val="center"/>
            <w:hideMark/>
          </w:tcPr>
          <w:p w:rsidR="00F76AD5" w:rsidRDefault="00F76AD5" w:rsidP="00F76AD5">
            <w:pPr>
              <w:pStyle w:val="--"/>
            </w:pPr>
            <w:r>
              <w:t>0.98</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5</w:t>
            </w:r>
          </w:p>
        </w:tc>
        <w:tc>
          <w:tcPr>
            <w:tcW w:w="709" w:type="pct"/>
            <w:vAlign w:val="center"/>
            <w:hideMark/>
          </w:tcPr>
          <w:p w:rsidR="00F76AD5" w:rsidRDefault="00F76AD5" w:rsidP="00F76AD5">
            <w:pPr>
              <w:pStyle w:val="--"/>
            </w:pPr>
            <w:r>
              <w:t>2.08</w:t>
            </w:r>
          </w:p>
        </w:tc>
        <w:tc>
          <w:tcPr>
            <w:tcW w:w="709" w:type="pct"/>
            <w:vAlign w:val="center"/>
            <w:hideMark/>
          </w:tcPr>
          <w:p w:rsidR="00F76AD5" w:rsidRDefault="00F76AD5" w:rsidP="00F76AD5">
            <w:pPr>
              <w:pStyle w:val="--"/>
            </w:pPr>
            <w:r>
              <w:t>0.99</w:t>
            </w:r>
          </w:p>
        </w:tc>
        <w:tc>
          <w:tcPr>
            <w:tcW w:w="1541" w:type="pct"/>
            <w:vAlign w:val="center"/>
            <w:hideMark/>
          </w:tcPr>
          <w:p w:rsidR="00F76AD5" w:rsidRDefault="00F76AD5" w:rsidP="00F76AD5">
            <w:pPr>
              <w:pStyle w:val="--"/>
            </w:pPr>
            <w:r>
              <w:t>9.36</w:t>
            </w:r>
          </w:p>
        </w:tc>
        <w:tc>
          <w:tcPr>
            <w:tcW w:w="1226" w:type="pct"/>
            <w:vAlign w:val="center"/>
            <w:hideMark/>
          </w:tcPr>
          <w:p w:rsidR="00F76AD5" w:rsidRDefault="00F76AD5" w:rsidP="00F76AD5">
            <w:pPr>
              <w:pStyle w:val="--"/>
            </w:pPr>
            <w:r>
              <w:t>0.24</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6</w:t>
            </w:r>
          </w:p>
        </w:tc>
        <w:tc>
          <w:tcPr>
            <w:tcW w:w="709" w:type="pct"/>
            <w:vAlign w:val="center"/>
            <w:hideMark/>
          </w:tcPr>
          <w:p w:rsidR="00F76AD5" w:rsidRDefault="00F76AD5" w:rsidP="00F76AD5">
            <w:pPr>
              <w:pStyle w:val="--"/>
            </w:pPr>
            <w:r>
              <w:t>3.17</w:t>
            </w:r>
          </w:p>
        </w:tc>
        <w:tc>
          <w:tcPr>
            <w:tcW w:w="709" w:type="pct"/>
            <w:vAlign w:val="center"/>
            <w:hideMark/>
          </w:tcPr>
          <w:p w:rsidR="00F76AD5" w:rsidRDefault="00F76AD5" w:rsidP="00F76AD5">
            <w:pPr>
              <w:pStyle w:val="--"/>
            </w:pPr>
            <w:r>
              <w:t>0.97</w:t>
            </w:r>
          </w:p>
        </w:tc>
        <w:tc>
          <w:tcPr>
            <w:tcW w:w="1541" w:type="pct"/>
            <w:vAlign w:val="center"/>
            <w:hideMark/>
          </w:tcPr>
          <w:p w:rsidR="00F76AD5" w:rsidRDefault="00F76AD5" w:rsidP="00F76AD5">
            <w:pPr>
              <w:pStyle w:val="--"/>
            </w:pPr>
            <w:r>
              <w:t>13.73</w:t>
            </w:r>
          </w:p>
        </w:tc>
        <w:tc>
          <w:tcPr>
            <w:tcW w:w="1226" w:type="pct"/>
            <w:vAlign w:val="center"/>
            <w:hideMark/>
          </w:tcPr>
          <w:p w:rsidR="00F76AD5" w:rsidRDefault="00F76AD5" w:rsidP="00F76AD5">
            <w:pPr>
              <w:pStyle w:val="--"/>
            </w:pPr>
            <w:r>
              <w:t>0.49</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7</w:t>
            </w:r>
          </w:p>
        </w:tc>
        <w:tc>
          <w:tcPr>
            <w:tcW w:w="709" w:type="pct"/>
            <w:vAlign w:val="center"/>
            <w:hideMark/>
          </w:tcPr>
          <w:p w:rsidR="00F76AD5" w:rsidRDefault="00F76AD5" w:rsidP="00F76AD5">
            <w:pPr>
              <w:pStyle w:val="--"/>
            </w:pPr>
            <w:r>
              <w:t>3.18</w:t>
            </w:r>
          </w:p>
        </w:tc>
        <w:tc>
          <w:tcPr>
            <w:tcW w:w="709" w:type="pct"/>
            <w:vAlign w:val="center"/>
            <w:hideMark/>
          </w:tcPr>
          <w:p w:rsidR="00F76AD5" w:rsidRDefault="00F76AD5" w:rsidP="00F76AD5">
            <w:pPr>
              <w:pStyle w:val="--"/>
            </w:pPr>
            <w:r>
              <w:t>1.36</w:t>
            </w:r>
          </w:p>
        </w:tc>
        <w:tc>
          <w:tcPr>
            <w:tcW w:w="1541" w:type="pct"/>
            <w:vAlign w:val="center"/>
            <w:hideMark/>
          </w:tcPr>
          <w:p w:rsidR="00F76AD5" w:rsidRDefault="00F76AD5" w:rsidP="00F76AD5">
            <w:pPr>
              <w:pStyle w:val="--"/>
            </w:pPr>
            <w:r>
              <w:t>4.45</w:t>
            </w:r>
          </w:p>
        </w:tc>
        <w:tc>
          <w:tcPr>
            <w:tcW w:w="1226" w:type="pct"/>
            <w:vAlign w:val="center"/>
            <w:hideMark/>
          </w:tcPr>
          <w:p w:rsidR="00F76AD5" w:rsidRDefault="00F76AD5" w:rsidP="00F76AD5">
            <w:pPr>
              <w:pStyle w:val="--"/>
            </w:pPr>
            <w:r>
              <w:t>0.94</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8</w:t>
            </w:r>
          </w:p>
        </w:tc>
        <w:tc>
          <w:tcPr>
            <w:tcW w:w="709" w:type="pct"/>
            <w:vAlign w:val="center"/>
            <w:hideMark/>
          </w:tcPr>
          <w:p w:rsidR="00F76AD5" w:rsidRDefault="00F76AD5" w:rsidP="00F76AD5">
            <w:pPr>
              <w:pStyle w:val="--"/>
            </w:pPr>
            <w:r>
              <w:t>2.16</w:t>
            </w:r>
          </w:p>
        </w:tc>
        <w:tc>
          <w:tcPr>
            <w:tcW w:w="709" w:type="pct"/>
            <w:vAlign w:val="center"/>
            <w:hideMark/>
          </w:tcPr>
          <w:p w:rsidR="00F76AD5" w:rsidRDefault="00F76AD5" w:rsidP="00F76AD5">
            <w:pPr>
              <w:pStyle w:val="--"/>
            </w:pPr>
            <w:r>
              <w:t>1.89</w:t>
            </w:r>
          </w:p>
        </w:tc>
        <w:tc>
          <w:tcPr>
            <w:tcW w:w="1541" w:type="pct"/>
            <w:vAlign w:val="center"/>
            <w:hideMark/>
          </w:tcPr>
          <w:p w:rsidR="00F76AD5" w:rsidRDefault="00F76AD5" w:rsidP="00F76AD5">
            <w:pPr>
              <w:pStyle w:val="--"/>
            </w:pPr>
            <w:r>
              <w:t>9.00</w:t>
            </w:r>
          </w:p>
        </w:tc>
        <w:tc>
          <w:tcPr>
            <w:tcW w:w="1226" w:type="pct"/>
            <w:vAlign w:val="center"/>
            <w:hideMark/>
          </w:tcPr>
          <w:p w:rsidR="00F76AD5" w:rsidRDefault="00F76AD5" w:rsidP="00F76AD5">
            <w:pPr>
              <w:pStyle w:val="--"/>
            </w:pPr>
            <w:r>
              <w:t>0.21</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9</w:t>
            </w:r>
          </w:p>
        </w:tc>
        <w:tc>
          <w:tcPr>
            <w:tcW w:w="709" w:type="pct"/>
            <w:vAlign w:val="center"/>
            <w:hideMark/>
          </w:tcPr>
          <w:p w:rsidR="00F76AD5" w:rsidRDefault="00F76AD5" w:rsidP="00F76AD5">
            <w:pPr>
              <w:pStyle w:val="--"/>
            </w:pPr>
            <w:r>
              <w:t>2.00</w:t>
            </w:r>
          </w:p>
        </w:tc>
        <w:tc>
          <w:tcPr>
            <w:tcW w:w="709" w:type="pct"/>
            <w:vAlign w:val="center"/>
            <w:hideMark/>
          </w:tcPr>
          <w:p w:rsidR="00F76AD5" w:rsidRDefault="00F76AD5" w:rsidP="00F76AD5">
            <w:pPr>
              <w:pStyle w:val="--"/>
            </w:pPr>
            <w:r>
              <w:t>1.73</w:t>
            </w:r>
          </w:p>
        </w:tc>
        <w:tc>
          <w:tcPr>
            <w:tcW w:w="1541" w:type="pct"/>
            <w:vAlign w:val="center"/>
            <w:hideMark/>
          </w:tcPr>
          <w:p w:rsidR="00F76AD5" w:rsidRDefault="00F76AD5" w:rsidP="00F76AD5">
            <w:pPr>
              <w:pStyle w:val="--"/>
            </w:pPr>
            <w:r>
              <w:t>5.29</w:t>
            </w:r>
          </w:p>
        </w:tc>
        <w:tc>
          <w:tcPr>
            <w:tcW w:w="1226" w:type="pct"/>
            <w:vAlign w:val="center"/>
            <w:hideMark/>
          </w:tcPr>
          <w:p w:rsidR="00F76AD5" w:rsidRDefault="00F76AD5" w:rsidP="00F76AD5">
            <w:pPr>
              <w:pStyle w:val="--"/>
            </w:pPr>
            <w:r>
              <w:t>0.21</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10</w:t>
            </w:r>
          </w:p>
        </w:tc>
        <w:tc>
          <w:tcPr>
            <w:tcW w:w="709" w:type="pct"/>
            <w:vAlign w:val="center"/>
            <w:hideMark/>
          </w:tcPr>
          <w:p w:rsidR="00F76AD5" w:rsidRDefault="00F76AD5" w:rsidP="00F76AD5">
            <w:pPr>
              <w:pStyle w:val="--"/>
            </w:pPr>
            <w:r>
              <w:t>3.23</w:t>
            </w:r>
          </w:p>
        </w:tc>
        <w:tc>
          <w:tcPr>
            <w:tcW w:w="709" w:type="pct"/>
            <w:vAlign w:val="center"/>
            <w:hideMark/>
          </w:tcPr>
          <w:p w:rsidR="00F76AD5" w:rsidRDefault="00F76AD5" w:rsidP="00F76AD5">
            <w:pPr>
              <w:pStyle w:val="--"/>
            </w:pPr>
            <w:r>
              <w:t>1.39</w:t>
            </w:r>
          </w:p>
        </w:tc>
        <w:tc>
          <w:tcPr>
            <w:tcW w:w="1541" w:type="pct"/>
            <w:vAlign w:val="center"/>
            <w:hideMark/>
          </w:tcPr>
          <w:p w:rsidR="00F76AD5" w:rsidRDefault="00F76AD5" w:rsidP="00F76AD5">
            <w:pPr>
              <w:pStyle w:val="--"/>
            </w:pPr>
            <w:r>
              <w:t>4.72</w:t>
            </w:r>
          </w:p>
        </w:tc>
        <w:tc>
          <w:tcPr>
            <w:tcW w:w="1226" w:type="pct"/>
            <w:vAlign w:val="center"/>
            <w:hideMark/>
          </w:tcPr>
          <w:p w:rsidR="00F76AD5" w:rsidRDefault="00F76AD5" w:rsidP="00F76AD5">
            <w:pPr>
              <w:pStyle w:val="--"/>
            </w:pPr>
            <w:r>
              <w:t>0.83</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11</w:t>
            </w:r>
          </w:p>
        </w:tc>
        <w:tc>
          <w:tcPr>
            <w:tcW w:w="709" w:type="pct"/>
            <w:vAlign w:val="center"/>
            <w:hideMark/>
          </w:tcPr>
          <w:p w:rsidR="00F76AD5" w:rsidRDefault="00F76AD5" w:rsidP="00F76AD5">
            <w:pPr>
              <w:pStyle w:val="--"/>
            </w:pPr>
            <w:r>
              <w:t>1.00</w:t>
            </w:r>
          </w:p>
        </w:tc>
        <w:tc>
          <w:tcPr>
            <w:tcW w:w="709" w:type="pct"/>
            <w:vAlign w:val="center"/>
            <w:hideMark/>
          </w:tcPr>
          <w:p w:rsidR="00F76AD5" w:rsidRDefault="00F76AD5" w:rsidP="00F76AD5">
            <w:pPr>
              <w:pStyle w:val="--"/>
            </w:pPr>
            <w:r>
              <w:t>0.63</w:t>
            </w:r>
          </w:p>
        </w:tc>
        <w:tc>
          <w:tcPr>
            <w:tcW w:w="1541" w:type="pct"/>
            <w:vAlign w:val="center"/>
            <w:hideMark/>
          </w:tcPr>
          <w:p w:rsidR="00F76AD5" w:rsidRDefault="00F76AD5" w:rsidP="00F76AD5">
            <w:pPr>
              <w:pStyle w:val="--"/>
            </w:pPr>
            <w:r>
              <w:t>3.86</w:t>
            </w:r>
          </w:p>
        </w:tc>
        <w:tc>
          <w:tcPr>
            <w:tcW w:w="1226" w:type="pct"/>
            <w:vAlign w:val="center"/>
            <w:hideMark/>
          </w:tcPr>
          <w:p w:rsidR="00F76AD5" w:rsidRDefault="00F76AD5" w:rsidP="00F76AD5">
            <w:pPr>
              <w:pStyle w:val="--"/>
            </w:pPr>
            <w:r>
              <w:t>0.18</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12</w:t>
            </w:r>
          </w:p>
        </w:tc>
        <w:tc>
          <w:tcPr>
            <w:tcW w:w="709" w:type="pct"/>
            <w:vAlign w:val="center"/>
            <w:hideMark/>
          </w:tcPr>
          <w:p w:rsidR="00F76AD5" w:rsidRDefault="00F76AD5" w:rsidP="00F76AD5">
            <w:pPr>
              <w:pStyle w:val="--"/>
            </w:pPr>
            <w:r>
              <w:t>3.36</w:t>
            </w:r>
          </w:p>
        </w:tc>
        <w:tc>
          <w:tcPr>
            <w:tcW w:w="709" w:type="pct"/>
            <w:vAlign w:val="center"/>
            <w:hideMark/>
          </w:tcPr>
          <w:p w:rsidR="00F76AD5" w:rsidRDefault="00F76AD5" w:rsidP="00F76AD5">
            <w:pPr>
              <w:pStyle w:val="--"/>
            </w:pPr>
            <w:r>
              <w:t>1.65</w:t>
            </w:r>
          </w:p>
        </w:tc>
        <w:tc>
          <w:tcPr>
            <w:tcW w:w="1541" w:type="pct"/>
            <w:vAlign w:val="center"/>
            <w:hideMark/>
          </w:tcPr>
          <w:p w:rsidR="00F76AD5" w:rsidRDefault="00F76AD5" w:rsidP="00F76AD5">
            <w:pPr>
              <w:pStyle w:val="--"/>
            </w:pPr>
            <w:r>
              <w:t>1.34</w:t>
            </w:r>
          </w:p>
        </w:tc>
        <w:tc>
          <w:tcPr>
            <w:tcW w:w="1226" w:type="pct"/>
            <w:vAlign w:val="center"/>
            <w:hideMark/>
          </w:tcPr>
          <w:p w:rsidR="00F76AD5" w:rsidRDefault="00F76AD5" w:rsidP="00F76AD5">
            <w:pPr>
              <w:pStyle w:val="--"/>
            </w:pPr>
            <w:r>
              <w:t>1.00</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13</w:t>
            </w:r>
          </w:p>
        </w:tc>
        <w:tc>
          <w:tcPr>
            <w:tcW w:w="709" w:type="pct"/>
            <w:vAlign w:val="center"/>
            <w:hideMark/>
          </w:tcPr>
          <w:p w:rsidR="00F76AD5" w:rsidRDefault="00F76AD5" w:rsidP="00F76AD5">
            <w:pPr>
              <w:pStyle w:val="--"/>
            </w:pPr>
            <w:r>
              <w:t>3.11</w:t>
            </w:r>
          </w:p>
        </w:tc>
        <w:tc>
          <w:tcPr>
            <w:tcW w:w="709" w:type="pct"/>
            <w:vAlign w:val="center"/>
            <w:hideMark/>
          </w:tcPr>
          <w:p w:rsidR="00F76AD5" w:rsidRDefault="00F76AD5" w:rsidP="00F76AD5">
            <w:pPr>
              <w:pStyle w:val="--"/>
            </w:pPr>
            <w:r>
              <w:t>0.81</w:t>
            </w:r>
          </w:p>
        </w:tc>
        <w:tc>
          <w:tcPr>
            <w:tcW w:w="1541" w:type="pct"/>
            <w:vAlign w:val="center"/>
            <w:hideMark/>
          </w:tcPr>
          <w:p w:rsidR="00F76AD5" w:rsidRDefault="00F76AD5" w:rsidP="00F76AD5">
            <w:pPr>
              <w:pStyle w:val="--"/>
            </w:pPr>
            <w:r>
              <w:t>2.88</w:t>
            </w:r>
          </w:p>
        </w:tc>
        <w:tc>
          <w:tcPr>
            <w:tcW w:w="1226" w:type="pct"/>
            <w:vAlign w:val="center"/>
            <w:hideMark/>
          </w:tcPr>
          <w:p w:rsidR="00F76AD5" w:rsidRDefault="00F76AD5" w:rsidP="00F76AD5">
            <w:pPr>
              <w:pStyle w:val="--"/>
            </w:pPr>
            <w:r>
              <w:t>0.48</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14</w:t>
            </w:r>
          </w:p>
        </w:tc>
        <w:tc>
          <w:tcPr>
            <w:tcW w:w="709" w:type="pct"/>
            <w:vAlign w:val="center"/>
            <w:hideMark/>
          </w:tcPr>
          <w:p w:rsidR="00F76AD5" w:rsidRDefault="00F76AD5" w:rsidP="00F76AD5">
            <w:pPr>
              <w:pStyle w:val="--"/>
            </w:pPr>
            <w:r>
              <w:t>1.00</w:t>
            </w:r>
          </w:p>
        </w:tc>
        <w:tc>
          <w:tcPr>
            <w:tcW w:w="709" w:type="pct"/>
            <w:vAlign w:val="center"/>
            <w:hideMark/>
          </w:tcPr>
          <w:p w:rsidR="00F76AD5" w:rsidRDefault="00F76AD5" w:rsidP="00F76AD5">
            <w:pPr>
              <w:pStyle w:val="--"/>
            </w:pPr>
            <w:r>
              <w:t>1.00</w:t>
            </w:r>
          </w:p>
        </w:tc>
        <w:tc>
          <w:tcPr>
            <w:tcW w:w="1541" w:type="pct"/>
            <w:vAlign w:val="center"/>
            <w:hideMark/>
          </w:tcPr>
          <w:p w:rsidR="00F76AD5" w:rsidRDefault="00F76AD5" w:rsidP="00F76AD5">
            <w:pPr>
              <w:pStyle w:val="--"/>
            </w:pPr>
            <w:r>
              <w:t>0.92</w:t>
            </w:r>
          </w:p>
        </w:tc>
        <w:tc>
          <w:tcPr>
            <w:tcW w:w="1226" w:type="pct"/>
            <w:vAlign w:val="center"/>
            <w:hideMark/>
          </w:tcPr>
          <w:p w:rsidR="00F76AD5" w:rsidRDefault="00F76AD5" w:rsidP="00F76AD5">
            <w:pPr>
              <w:pStyle w:val="--"/>
            </w:pPr>
            <w:r>
              <w:t>1.03</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15</w:t>
            </w:r>
          </w:p>
        </w:tc>
        <w:tc>
          <w:tcPr>
            <w:tcW w:w="709" w:type="pct"/>
            <w:vAlign w:val="center"/>
            <w:hideMark/>
          </w:tcPr>
          <w:p w:rsidR="00F76AD5" w:rsidRDefault="00F76AD5" w:rsidP="00F76AD5">
            <w:pPr>
              <w:pStyle w:val="--"/>
            </w:pPr>
            <w:r>
              <w:t>1.00</w:t>
            </w:r>
          </w:p>
        </w:tc>
        <w:tc>
          <w:tcPr>
            <w:tcW w:w="709" w:type="pct"/>
            <w:vAlign w:val="center"/>
            <w:hideMark/>
          </w:tcPr>
          <w:p w:rsidR="00F76AD5" w:rsidRDefault="00F76AD5" w:rsidP="00F76AD5">
            <w:pPr>
              <w:pStyle w:val="--"/>
            </w:pPr>
            <w:r>
              <w:t>0.72</w:t>
            </w:r>
          </w:p>
        </w:tc>
        <w:tc>
          <w:tcPr>
            <w:tcW w:w="1541" w:type="pct"/>
            <w:vAlign w:val="center"/>
            <w:hideMark/>
          </w:tcPr>
          <w:p w:rsidR="00F76AD5" w:rsidRDefault="00F76AD5" w:rsidP="00F76AD5">
            <w:pPr>
              <w:pStyle w:val="--"/>
            </w:pPr>
            <w:r>
              <w:t>0.62</w:t>
            </w:r>
          </w:p>
        </w:tc>
        <w:tc>
          <w:tcPr>
            <w:tcW w:w="1226" w:type="pct"/>
            <w:vAlign w:val="center"/>
            <w:hideMark/>
          </w:tcPr>
          <w:p w:rsidR="00F76AD5" w:rsidRDefault="00F76AD5" w:rsidP="00F76AD5">
            <w:pPr>
              <w:pStyle w:val="--"/>
            </w:pPr>
            <w:r>
              <w:t>0.95</w:t>
            </w:r>
          </w:p>
        </w:tc>
      </w:tr>
      <w:tr w:rsidR="00F76AD5" w:rsidRPr="00920F72" w:rsidTr="00CE7996">
        <w:trPr>
          <w:trHeight w:val="315"/>
        </w:trPr>
        <w:tc>
          <w:tcPr>
            <w:tcW w:w="815" w:type="pct"/>
            <w:hideMark/>
          </w:tcPr>
          <w:p w:rsidR="00F76AD5" w:rsidRPr="00920F72" w:rsidRDefault="00F76AD5" w:rsidP="00920F72">
            <w:pPr>
              <w:pStyle w:val="--"/>
              <w:rPr>
                <w:lang w:eastAsia="ru-RU"/>
              </w:rPr>
            </w:pPr>
            <w:r w:rsidRPr="00920F72">
              <w:rPr>
                <w:lang w:eastAsia="ru-RU"/>
              </w:rPr>
              <w:t>16</w:t>
            </w:r>
          </w:p>
        </w:tc>
        <w:tc>
          <w:tcPr>
            <w:tcW w:w="709" w:type="pct"/>
            <w:vAlign w:val="center"/>
            <w:hideMark/>
          </w:tcPr>
          <w:p w:rsidR="00F76AD5" w:rsidRDefault="00F76AD5" w:rsidP="00F76AD5">
            <w:pPr>
              <w:pStyle w:val="--"/>
            </w:pPr>
            <w:r>
              <w:t>2.56</w:t>
            </w:r>
          </w:p>
        </w:tc>
        <w:tc>
          <w:tcPr>
            <w:tcW w:w="709" w:type="pct"/>
            <w:vAlign w:val="center"/>
            <w:hideMark/>
          </w:tcPr>
          <w:p w:rsidR="00F76AD5" w:rsidRDefault="00F76AD5" w:rsidP="00F76AD5">
            <w:pPr>
              <w:pStyle w:val="--"/>
            </w:pPr>
            <w:r>
              <w:t>1.04</w:t>
            </w:r>
          </w:p>
        </w:tc>
        <w:tc>
          <w:tcPr>
            <w:tcW w:w="1541" w:type="pct"/>
            <w:vAlign w:val="center"/>
            <w:hideMark/>
          </w:tcPr>
          <w:p w:rsidR="00F76AD5" w:rsidRDefault="00F76AD5" w:rsidP="00F76AD5">
            <w:pPr>
              <w:pStyle w:val="--"/>
            </w:pPr>
            <w:r>
              <w:t>4.45</w:t>
            </w:r>
          </w:p>
        </w:tc>
        <w:tc>
          <w:tcPr>
            <w:tcW w:w="1226" w:type="pct"/>
            <w:vAlign w:val="center"/>
            <w:hideMark/>
          </w:tcPr>
          <w:p w:rsidR="00F76AD5" w:rsidRDefault="00F76AD5" w:rsidP="00F76AD5">
            <w:pPr>
              <w:pStyle w:val="--"/>
            </w:pPr>
            <w:r>
              <w:t>1.00</w:t>
            </w:r>
          </w:p>
        </w:tc>
      </w:tr>
      <w:tr w:rsidR="00F76AD5" w:rsidRPr="00920F72" w:rsidTr="00CE7996">
        <w:trPr>
          <w:trHeight w:val="315"/>
        </w:trPr>
        <w:tc>
          <w:tcPr>
            <w:tcW w:w="815" w:type="pct"/>
            <w:vAlign w:val="center"/>
          </w:tcPr>
          <w:p w:rsidR="00F76AD5" w:rsidRDefault="00F76AD5" w:rsidP="00920F72">
            <w:pPr>
              <w:pStyle w:val="-"/>
            </w:pPr>
            <w:r>
              <w:t>Макс.</w:t>
            </w:r>
          </w:p>
        </w:tc>
        <w:tc>
          <w:tcPr>
            <w:tcW w:w="709" w:type="pct"/>
            <w:vAlign w:val="center"/>
          </w:tcPr>
          <w:p w:rsidR="00F76AD5" w:rsidRPr="00F76AD5" w:rsidRDefault="00F76AD5" w:rsidP="00F76AD5">
            <w:pPr>
              <w:pStyle w:val="--"/>
              <w:rPr>
                <w:b/>
              </w:rPr>
            </w:pPr>
            <w:r w:rsidRPr="00F76AD5">
              <w:rPr>
                <w:b/>
              </w:rPr>
              <w:t>3.60</w:t>
            </w:r>
          </w:p>
        </w:tc>
        <w:tc>
          <w:tcPr>
            <w:tcW w:w="709" w:type="pct"/>
            <w:vAlign w:val="center"/>
          </w:tcPr>
          <w:p w:rsidR="00F76AD5" w:rsidRPr="00F76AD5" w:rsidRDefault="00F76AD5" w:rsidP="00F76AD5">
            <w:pPr>
              <w:pStyle w:val="--"/>
              <w:rPr>
                <w:b/>
              </w:rPr>
            </w:pPr>
            <w:r w:rsidRPr="00F76AD5">
              <w:rPr>
                <w:b/>
              </w:rPr>
              <w:t>1.89</w:t>
            </w:r>
          </w:p>
        </w:tc>
        <w:tc>
          <w:tcPr>
            <w:tcW w:w="1541" w:type="pct"/>
            <w:vAlign w:val="center"/>
          </w:tcPr>
          <w:p w:rsidR="00F76AD5" w:rsidRPr="00F76AD5" w:rsidRDefault="00F76AD5" w:rsidP="00F76AD5">
            <w:pPr>
              <w:pStyle w:val="--"/>
              <w:rPr>
                <w:b/>
              </w:rPr>
            </w:pPr>
            <w:r w:rsidRPr="00F76AD5">
              <w:rPr>
                <w:b/>
              </w:rPr>
              <w:t>13.73</w:t>
            </w:r>
          </w:p>
        </w:tc>
        <w:tc>
          <w:tcPr>
            <w:tcW w:w="1226" w:type="pct"/>
            <w:vAlign w:val="center"/>
          </w:tcPr>
          <w:p w:rsidR="00F76AD5" w:rsidRPr="00F76AD5" w:rsidRDefault="00F76AD5" w:rsidP="00F76AD5">
            <w:pPr>
              <w:pStyle w:val="--"/>
              <w:rPr>
                <w:b/>
              </w:rPr>
            </w:pPr>
            <w:r w:rsidRPr="00F76AD5">
              <w:rPr>
                <w:b/>
              </w:rPr>
              <w:t>1.03</w:t>
            </w:r>
          </w:p>
        </w:tc>
      </w:tr>
      <w:tr w:rsidR="00F76AD5" w:rsidRPr="00920F72" w:rsidTr="00CE7996">
        <w:trPr>
          <w:trHeight w:val="315"/>
        </w:trPr>
        <w:tc>
          <w:tcPr>
            <w:tcW w:w="815" w:type="pct"/>
            <w:vAlign w:val="center"/>
          </w:tcPr>
          <w:p w:rsidR="00F76AD5" w:rsidRDefault="00F76AD5" w:rsidP="00920F72">
            <w:pPr>
              <w:pStyle w:val="-"/>
            </w:pPr>
            <w:r>
              <w:t>Мин.</w:t>
            </w:r>
          </w:p>
        </w:tc>
        <w:tc>
          <w:tcPr>
            <w:tcW w:w="709" w:type="pct"/>
            <w:vAlign w:val="center"/>
          </w:tcPr>
          <w:p w:rsidR="00F76AD5" w:rsidRPr="00F76AD5" w:rsidRDefault="00F76AD5" w:rsidP="00F76AD5">
            <w:pPr>
              <w:pStyle w:val="--"/>
              <w:rPr>
                <w:b/>
              </w:rPr>
            </w:pPr>
            <w:r w:rsidRPr="00F76AD5">
              <w:rPr>
                <w:b/>
              </w:rPr>
              <w:t>1.00</w:t>
            </w:r>
          </w:p>
        </w:tc>
        <w:tc>
          <w:tcPr>
            <w:tcW w:w="709" w:type="pct"/>
            <w:vAlign w:val="center"/>
          </w:tcPr>
          <w:p w:rsidR="00F76AD5" w:rsidRPr="00F76AD5" w:rsidRDefault="00F76AD5" w:rsidP="00F76AD5">
            <w:pPr>
              <w:pStyle w:val="--"/>
              <w:rPr>
                <w:b/>
              </w:rPr>
            </w:pPr>
            <w:r w:rsidRPr="00F76AD5">
              <w:rPr>
                <w:b/>
              </w:rPr>
              <w:t>0.63</w:t>
            </w:r>
          </w:p>
        </w:tc>
        <w:tc>
          <w:tcPr>
            <w:tcW w:w="1541" w:type="pct"/>
            <w:vAlign w:val="center"/>
          </w:tcPr>
          <w:p w:rsidR="00F76AD5" w:rsidRPr="00F76AD5" w:rsidRDefault="00F76AD5" w:rsidP="00F76AD5">
            <w:pPr>
              <w:pStyle w:val="--"/>
              <w:rPr>
                <w:b/>
              </w:rPr>
            </w:pPr>
            <w:r w:rsidRPr="00F76AD5">
              <w:rPr>
                <w:b/>
              </w:rPr>
              <w:t>0.62</w:t>
            </w:r>
          </w:p>
        </w:tc>
        <w:tc>
          <w:tcPr>
            <w:tcW w:w="1226" w:type="pct"/>
            <w:vAlign w:val="center"/>
          </w:tcPr>
          <w:p w:rsidR="00F76AD5" w:rsidRPr="00F76AD5" w:rsidRDefault="00F76AD5" w:rsidP="00F76AD5">
            <w:pPr>
              <w:pStyle w:val="--"/>
              <w:rPr>
                <w:b/>
              </w:rPr>
            </w:pPr>
            <w:r w:rsidRPr="00F76AD5">
              <w:rPr>
                <w:b/>
              </w:rPr>
              <w:t>0.18</w:t>
            </w:r>
          </w:p>
        </w:tc>
      </w:tr>
      <w:tr w:rsidR="00F76AD5" w:rsidRPr="00920F72" w:rsidTr="00CE7996">
        <w:trPr>
          <w:trHeight w:val="315"/>
        </w:trPr>
        <w:tc>
          <w:tcPr>
            <w:tcW w:w="815" w:type="pct"/>
            <w:vAlign w:val="center"/>
          </w:tcPr>
          <w:p w:rsidR="00F76AD5" w:rsidRDefault="00F76AD5" w:rsidP="00920F72">
            <w:pPr>
              <w:pStyle w:val="-"/>
            </w:pPr>
            <w:r>
              <w:t>Сред.</w:t>
            </w:r>
          </w:p>
        </w:tc>
        <w:tc>
          <w:tcPr>
            <w:tcW w:w="709" w:type="pct"/>
            <w:vAlign w:val="center"/>
          </w:tcPr>
          <w:p w:rsidR="00F76AD5" w:rsidRPr="00F76AD5" w:rsidRDefault="00F76AD5" w:rsidP="00F76AD5">
            <w:pPr>
              <w:pStyle w:val="--"/>
              <w:rPr>
                <w:b/>
              </w:rPr>
            </w:pPr>
            <w:r w:rsidRPr="00F76AD5">
              <w:rPr>
                <w:b/>
              </w:rPr>
              <w:t>2.39</w:t>
            </w:r>
          </w:p>
        </w:tc>
        <w:tc>
          <w:tcPr>
            <w:tcW w:w="709" w:type="pct"/>
            <w:vAlign w:val="center"/>
          </w:tcPr>
          <w:p w:rsidR="00F76AD5" w:rsidRPr="00F76AD5" w:rsidRDefault="00F76AD5" w:rsidP="00F76AD5">
            <w:pPr>
              <w:pStyle w:val="--"/>
              <w:rPr>
                <w:b/>
              </w:rPr>
            </w:pPr>
            <w:r w:rsidRPr="00F76AD5">
              <w:rPr>
                <w:b/>
              </w:rPr>
              <w:t>1.20</w:t>
            </w:r>
          </w:p>
        </w:tc>
        <w:tc>
          <w:tcPr>
            <w:tcW w:w="1541" w:type="pct"/>
            <w:vAlign w:val="center"/>
          </w:tcPr>
          <w:p w:rsidR="00F76AD5" w:rsidRPr="00F76AD5" w:rsidRDefault="00F76AD5" w:rsidP="00F76AD5">
            <w:pPr>
              <w:pStyle w:val="--"/>
              <w:rPr>
                <w:b/>
              </w:rPr>
            </w:pPr>
            <w:r w:rsidRPr="00F76AD5">
              <w:rPr>
                <w:b/>
              </w:rPr>
              <w:t>5.05</w:t>
            </w:r>
          </w:p>
        </w:tc>
        <w:tc>
          <w:tcPr>
            <w:tcW w:w="1226" w:type="pct"/>
            <w:vAlign w:val="center"/>
          </w:tcPr>
          <w:p w:rsidR="00F76AD5" w:rsidRPr="00F76AD5" w:rsidRDefault="00F76AD5" w:rsidP="00F76AD5">
            <w:pPr>
              <w:pStyle w:val="--"/>
              <w:rPr>
                <w:b/>
              </w:rPr>
            </w:pPr>
            <w:r w:rsidRPr="00F76AD5">
              <w:rPr>
                <w:b/>
              </w:rPr>
              <w:t>0.64</w:t>
            </w:r>
          </w:p>
        </w:tc>
      </w:tr>
    </w:tbl>
    <w:p w:rsidR="00920F72" w:rsidRDefault="00920F72" w:rsidP="00927D81"/>
    <w:p w:rsidR="00F76AD5" w:rsidRDefault="00F76AD5" w:rsidP="00F76AD5">
      <w:r>
        <w:t>На основании проведенных расчетов для участков плит перекрытий, расположенных над удаляемым конструктивным элементом необходимо усиление нижнего слоя армирования плит, как для пролетного участка, согласно приведенному графическому материалу. Средний коэффициент увеличения нижнего «надколонного» армирования 2.38, максимальный — 3.6. Наиболее опасные с точки зрения пролетного армирования зоны: у края перекрытия и в углу перекрытия, для который полная площадь армирования на погонный метр может достигать 26 см</w:t>
      </w:r>
      <w:r w:rsidRPr="00F76AD5">
        <w:rPr>
          <w:vertAlign w:val="superscript"/>
        </w:rPr>
        <w:t>2</w:t>
      </w:r>
      <w:r>
        <w:t>/м.</w:t>
      </w:r>
    </w:p>
    <w:p w:rsidR="00C56DAA" w:rsidRPr="009C38C6" w:rsidRDefault="00C56DAA" w:rsidP="00C56DAA">
      <w:pPr>
        <w:pStyle w:val="afb"/>
      </w:pPr>
      <w:r>
        <w:lastRenderedPageBreak/>
        <mc:AlternateContent>
          <mc:Choice Requires="wps">
            <w:drawing>
              <wp:anchor distT="0" distB="0" distL="114300" distR="114300" simplePos="0" relativeHeight="252066816" behindDoc="0" locked="0" layoutInCell="1" allowOverlap="1" wp14:anchorId="7E2EF4C4" wp14:editId="6A70F7B7">
                <wp:simplePos x="0" y="0"/>
                <wp:positionH relativeFrom="column">
                  <wp:posOffset>2992135</wp:posOffset>
                </wp:positionH>
                <wp:positionV relativeFrom="paragraph">
                  <wp:posOffset>2076273</wp:posOffset>
                </wp:positionV>
                <wp:extent cx="924515" cy="1600982"/>
                <wp:effectExtent l="19050" t="19050" r="28575" b="18415"/>
                <wp:wrapNone/>
                <wp:docPr id="573" name="Овал 573"/>
                <wp:cNvGraphicFramePr/>
                <a:graphic xmlns:a="http://schemas.openxmlformats.org/drawingml/2006/main">
                  <a:graphicData uri="http://schemas.microsoft.com/office/word/2010/wordprocessingShape">
                    <wps:wsp>
                      <wps:cNvSpPr/>
                      <wps:spPr>
                        <a:xfrm>
                          <a:off x="0" y="0"/>
                          <a:ext cx="924515" cy="1600982"/>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82203" id="Овал 573" o:spid="_x0000_s1026" style="position:absolute;margin-left:235.6pt;margin-top:163.5pt;width:72.8pt;height:126.0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" filled="f" strokecolor="red" strokeweight="3pt">
                <v:stroke joinstyle="miter"/>
              </v:oval>
            </w:pict>
          </mc:Fallback>
        </mc:AlternateContent>
      </w:r>
      <w:r>
        <w:rPr>
          <w:szCs w:val="20"/>
        </w:rPr>
        <w:drawing>
          <wp:inline distT="0" distB="0" distL="0" distR="0" wp14:anchorId="0ADC12B5" wp14:editId="37C65A75">
            <wp:extent cx="5940425" cy="5783580"/>
            <wp:effectExtent l="0" t="0" r="3175" b="7620"/>
            <wp:docPr id="568"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png"/>
                    <pic:cNvPicPr/>
                  </pic:nvPicPr>
                  <pic:blipFill>
                    <a:blip r:embed="rId22">
                      <a:extLst>
                        <a:ext uri="{28A0092B-C50C-407E-A947-70E740481C1C}">
                          <a14:useLocalDpi xmlns:a14="http://schemas.microsoft.com/office/drawing/2010/main" val="0"/>
                        </a:ext>
                      </a:extLst>
                    </a:blip>
                    <a:stretch>
                      <a:fillRect/>
                    </a:stretch>
                  </pic:blipFill>
                  <pic:spPr>
                    <a:xfrm>
                      <a:off x="0" y="0"/>
                      <a:ext cx="5940425" cy="5783580"/>
                    </a:xfrm>
                    <a:prstGeom prst="rect">
                      <a:avLst/>
                    </a:prstGeom>
                  </pic:spPr>
                </pic:pic>
              </a:graphicData>
            </a:graphic>
          </wp:inline>
        </w:drawing>
      </w:r>
    </w:p>
    <w:p w:rsidR="00C56DAA" w:rsidRPr="00C56DAA" w:rsidRDefault="00C56DAA" w:rsidP="00C56DAA">
      <w:pPr>
        <w:pStyle w:val="af8"/>
        <w:rPr>
          <w:i w:val="0"/>
        </w:rPr>
      </w:pPr>
      <w:r w:rsidRPr="00C56DAA">
        <w:rPr>
          <w:i w:val="0"/>
        </w:rPr>
        <w:t xml:space="preserve">Рис. </w:t>
      </w:r>
      <w:r>
        <w:rPr>
          <w:i w:val="0"/>
        </w:rPr>
        <w:t>3</w:t>
      </w:r>
      <w:r w:rsidRPr="00C56DAA">
        <w:rPr>
          <w:i w:val="0"/>
        </w:rPr>
        <w:t xml:space="preserve">. — </w:t>
      </w:r>
      <w:r w:rsidRPr="00C56DAA">
        <w:rPr>
          <w:i w:val="0"/>
        </w:rPr>
        <w:fldChar w:fldCharType="begin"/>
      </w:r>
      <w:r w:rsidRPr="00C56DAA">
        <w:rPr>
          <w:i w:val="0"/>
        </w:rPr>
        <w:instrText xml:space="preserve"> STYLEREF  "Заголовок 2"  \* MERGEFORMAT </w:instrText>
      </w:r>
      <w:r w:rsidRPr="00C56DAA">
        <w:rPr>
          <w:i w:val="0"/>
        </w:rPr>
        <w:fldChar w:fldCharType="separate"/>
      </w:r>
      <w:r w:rsidRPr="00C56DAA">
        <w:rPr>
          <w:i w:val="0"/>
          <w:noProof/>
        </w:rPr>
        <w:t>Сценарий 3. Разрушение колонны по оси 136/Е</w:t>
      </w:r>
      <w:r w:rsidRPr="00C56DAA">
        <w:rPr>
          <w:i w:val="0"/>
          <w:noProof/>
        </w:rPr>
        <w:fldChar w:fldCharType="end"/>
      </w:r>
      <w:r w:rsidRPr="00C56DAA">
        <w:rPr>
          <w:i w:val="0"/>
        </w:rPr>
        <w:t>. Колонны. Процент армирования</w:t>
      </w:r>
    </w:p>
    <w:p w:rsidR="00C56DAA" w:rsidRDefault="00C56DAA" w:rsidP="00F76AD5"/>
    <w:p w:rsidR="00F76AD5" w:rsidRPr="000D3FC0" w:rsidRDefault="00F76AD5" w:rsidP="00F76AD5">
      <w:r>
        <w:t xml:space="preserve">Для участков плит перекрытий в зоне соседних вертикальных элементов (колонн и перекрытий) требуется усиление надопорной арматуры согласно приведенному графическому материалу. Средний коэффициент увеличения надопорного армирования 1.19, максимальный — 1.89. При этом на стадии рабочего проектирования рекомендованное усиление надопорного участка перекрытий в зоне за границей капителей (при фоновом </w:t>
      </w:r>
      <w:r w:rsidRPr="00F76AD5">
        <w:rPr>
          <w:lang w:val="en-US"/>
        </w:rPr>
        <w:t>d</w:t>
      </w:r>
      <w:r w:rsidRPr="000D3FC0">
        <w:t>12</w:t>
      </w:r>
      <w:r>
        <w:t xml:space="preserve"> А500</w:t>
      </w:r>
      <w:r w:rsidRPr="000D3FC0">
        <w:t xml:space="preserve"> </w:t>
      </w:r>
      <w:r>
        <w:t xml:space="preserve">с шагом 200 мм) должно быть не менее </w:t>
      </w:r>
      <w:r w:rsidRPr="00F76AD5">
        <w:rPr>
          <w:lang w:val="en-US"/>
        </w:rPr>
        <w:t>d</w:t>
      </w:r>
      <w:r w:rsidRPr="000D3FC0">
        <w:t>20</w:t>
      </w:r>
      <w:r>
        <w:t xml:space="preserve"> </w:t>
      </w:r>
      <w:r w:rsidRPr="00F76AD5">
        <w:rPr>
          <w:lang w:val="en-US"/>
        </w:rPr>
        <w:t>A</w:t>
      </w:r>
      <w:r w:rsidRPr="000D3FC0">
        <w:t xml:space="preserve">500 </w:t>
      </w:r>
      <w:r>
        <w:t>с шагом 200 мм</w:t>
      </w:r>
      <w:r w:rsidRPr="000D3FC0">
        <w:t>.</w:t>
      </w:r>
    </w:p>
    <w:p w:rsidR="00C56DAA" w:rsidRDefault="00F76AD5" w:rsidP="00F76AD5">
      <w:r>
        <w:t>Конструктивные элементы колонн, расположенные над удаляемым элементом</w:t>
      </w:r>
      <w:r w:rsidR="00692C63">
        <w:t>,</w:t>
      </w:r>
      <w:r>
        <w:t xml:space="preserve"> работаю</w:t>
      </w:r>
      <w:r w:rsidR="00692C63">
        <w:t>т</w:t>
      </w:r>
      <w:r>
        <w:t xml:space="preserve"> на растяжение, что приводит к повышенному проценту армирований в уровне покрытия.</w:t>
      </w:r>
      <w:r w:rsidR="001F4D83">
        <w:t xml:space="preserve"> Средний коэффициент увеличения армирования колонн от растяжения в результате прогрессирующего до 5.8 к теоретическому армированию.</w:t>
      </w:r>
    </w:p>
    <w:p w:rsidR="00C56DAA" w:rsidRDefault="00C56DAA" w:rsidP="00F76AD5"/>
    <w:p w:rsidR="00F76AD5" w:rsidRDefault="001F4D83" w:rsidP="00F76AD5">
      <w:bookmarkStart w:id="23" w:name="_GoBack"/>
      <w:bookmarkEnd w:id="23"/>
      <w:r>
        <w:t xml:space="preserve"> </w:t>
      </w:r>
    </w:p>
    <w:p w:rsidR="00920F72" w:rsidRDefault="00920F72" w:rsidP="00927D81"/>
    <w:p w:rsidR="00783ECC" w:rsidRPr="00CF11D5" w:rsidRDefault="00783ECC" w:rsidP="00D7316A">
      <w:pPr>
        <w:pStyle w:val="1"/>
        <w:numPr>
          <w:ilvl w:val="0"/>
          <w:numId w:val="0"/>
        </w:numPr>
        <w:ind w:left="709"/>
      </w:pPr>
      <w:bookmarkStart w:id="24" w:name="_Toc61870020"/>
      <w:r w:rsidRPr="00CF11D5">
        <w:lastRenderedPageBreak/>
        <w:t>Выводы</w:t>
      </w:r>
      <w:bookmarkEnd w:id="24"/>
    </w:p>
    <w:p w:rsidR="007B7BA6" w:rsidRDefault="007B7BA6" w:rsidP="007B7BA6"/>
    <w:p w:rsidR="007B7BA6" w:rsidRPr="007B7BA6" w:rsidRDefault="007B7BA6" w:rsidP="007B7BA6">
      <w:r w:rsidRPr="007B7BA6">
        <w:t>Научно-исследовательская работа, выполненнаяе ЗАО НИЦ СтаДиО по договору № ПЗ/2020-12 от 11 декабря 2020 года «Расчет на устойчивость к прогрессирующему обрушению для реконструкции Объекта (включая Арену и Некапитальные сооружения): «Реконструкция спортивно-концертного комплекса Петербургский», расположенного в квартале, ограниченном проспектом Ю. Гагарина, ул. Кузнецовская, пр. Космонавтов, ул. Бассейная, в целях создания многофункционального спортивно-досугового комплекса» и представленная в настоящем отчете, позволяют сформулировать следующие выводы:</w:t>
      </w:r>
    </w:p>
    <w:p w:rsidR="007B7BA6" w:rsidRPr="007B7BA6" w:rsidRDefault="007B7BA6" w:rsidP="007B7BA6">
      <w:pPr>
        <w:numPr>
          <w:ilvl w:val="0"/>
          <w:numId w:val="34"/>
        </w:numPr>
        <w:ind w:left="0" w:firstLine="709"/>
      </w:pPr>
      <w:r w:rsidRPr="007B7BA6">
        <w:t>Разработана и верифицирована пространственная оболочечно-стержневая конечноэлементная модель системы «свайное основание - сооружение» спортивно-концертного комплекса Петербургский и проведены расчеты на устойчивость к прогрессирующему обрушению в статической постановке согласно С</w:t>
      </w:r>
      <w:r w:rsidR="00D76FC8">
        <w:t>П 385.1325800.2018.</w:t>
      </w:r>
    </w:p>
    <w:p w:rsidR="007B7BA6" w:rsidRPr="007B7BA6" w:rsidRDefault="007B7BA6" w:rsidP="00A70FE4">
      <w:pPr>
        <w:numPr>
          <w:ilvl w:val="0"/>
          <w:numId w:val="34"/>
        </w:numPr>
        <w:ind w:left="0" w:firstLine="709"/>
      </w:pPr>
      <w:r w:rsidRPr="007B7BA6">
        <w:t>Выполнены расчеты конструкций покрытия (в рамках общей модели) на устойчивость к прогрессирующему обрушению в статической линейной постановке по 7 сценариям локальных разрушений.</w:t>
      </w:r>
      <w:r w:rsidR="00A70FE4" w:rsidRPr="007B7BA6">
        <w:t xml:space="preserve"> </w:t>
      </w:r>
    </w:p>
    <w:p w:rsidR="007B7BA6" w:rsidRPr="007B7BA6" w:rsidRDefault="007B7BA6" w:rsidP="00A70FE4">
      <w:pPr>
        <w:numPr>
          <w:ilvl w:val="0"/>
          <w:numId w:val="34"/>
        </w:numPr>
        <w:ind w:left="0" w:firstLine="709"/>
      </w:pPr>
      <w:r w:rsidRPr="007B7BA6">
        <w:t>Для секторов железобетонных конструкций проанализированы 16 выбранных сценариев локальных разрушений, на основании которых получены параметры напряженно-деформированного состояния и соответствующего ему расчетного армирования. С целью защиты от прогрессирующего обрушения все перекрытия в зонах опирания на колонны, углы сопряжения стен и торцы стен должны быть усилены каркасами от продавливания, равными по прочности бетонному сечению.</w:t>
      </w:r>
    </w:p>
    <w:p w:rsidR="007B7BA6" w:rsidRPr="007B7BA6" w:rsidRDefault="007B7BA6" w:rsidP="00FE7E64">
      <w:pPr>
        <w:numPr>
          <w:ilvl w:val="0"/>
          <w:numId w:val="34"/>
        </w:numPr>
        <w:ind w:left="0" w:firstLine="709"/>
      </w:pPr>
      <w:r w:rsidRPr="007B7BA6">
        <w:t>На основании выполненных расчетных исследований и в соответствии с пп.</w:t>
      </w:r>
      <w:r w:rsidR="00552E12">
        <w:t> </w:t>
      </w:r>
      <w:r w:rsidRPr="007B7BA6">
        <w:t xml:space="preserve">2-3 настоящего заключения устойчивость сооружения к прогрессирующему обрушению по рассмотренным сценариям </w:t>
      </w:r>
      <w:r w:rsidRPr="00FE7E64">
        <w:t>обеспечена</w:t>
      </w:r>
      <w:r w:rsidRPr="007B7BA6">
        <w:t>.</w:t>
      </w:r>
    </w:p>
    <w:p w:rsidR="007B7BA6" w:rsidRPr="00C43A6D" w:rsidRDefault="007B7BA6" w:rsidP="00C43A6D">
      <w:pPr>
        <w:spacing w:after="200"/>
        <w:ind w:firstLine="0"/>
      </w:pPr>
      <w:bookmarkStart w:id="25" w:name="__RefNumPara__5296_2082887093"/>
      <w:bookmarkEnd w:id="25"/>
    </w:p>
    <w:sectPr w:rsidR="007B7BA6" w:rsidRPr="00C43A6D">
      <w:headerReference w:type="default" r:id="rId23"/>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3F" w:rsidRDefault="0088593F" w:rsidP="005059BE">
      <w:pPr>
        <w:spacing w:line="240" w:lineRule="auto"/>
      </w:pPr>
      <w:r>
        <w:separator/>
      </w:r>
    </w:p>
  </w:endnote>
  <w:endnote w:type="continuationSeparator" w:id="0">
    <w:p w:rsidR="0088593F" w:rsidRDefault="0088593F" w:rsidP="00505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EC0" w:rsidRPr="00EE0D4B" w:rsidRDefault="000A7E9A" w:rsidP="00EE0D4B">
    <w:pPr>
      <w:tabs>
        <w:tab w:val="center" w:pos="4153"/>
        <w:tab w:val="right" w:pos="8306"/>
      </w:tabs>
      <w:autoSpaceDE w:val="0"/>
      <w:autoSpaceDN w:val="0"/>
      <w:spacing w:line="240" w:lineRule="auto"/>
      <w:jc w:val="center"/>
      <w:rPr>
        <w:rFonts w:eastAsia="Times New Roman" w:cs="Times New Roman"/>
        <w:spacing w:val="-3"/>
        <w:szCs w:val="24"/>
        <w:lang w:eastAsia="ru-RU"/>
      </w:rPr>
    </w:pPr>
    <w:r>
      <w:rPr>
        <w:rFonts w:eastAsia="Times New Roman" w:cs="Times New Roman"/>
        <w:spacing w:val="-3"/>
        <w:szCs w:val="24"/>
        <w:lang w:eastAsia="ru-RU"/>
      </w:rPr>
      <w:t>М</w:t>
    </w:r>
    <w:r w:rsidR="00D52EC0" w:rsidRPr="00EE0D4B">
      <w:rPr>
        <w:rFonts w:eastAsia="Times New Roman" w:cs="Times New Roman"/>
        <w:spacing w:val="-3"/>
        <w:szCs w:val="24"/>
        <w:lang w:eastAsia="ru-RU"/>
      </w:rPr>
      <w:t>осква, 20</w:t>
    </w:r>
    <w:r w:rsidR="00D52EC0">
      <w:rPr>
        <w:rFonts w:eastAsia="Times New Roman" w:cs="Times New Roman"/>
        <w:spacing w:val="-3"/>
        <w:szCs w:val="24"/>
        <w:lang w:eastAsia="ru-RU"/>
      </w:rPr>
      <w:t>21</w:t>
    </w:r>
  </w:p>
  <w:p w:rsidR="00D52EC0" w:rsidRDefault="00D52EC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E9A" w:rsidRPr="00EE0D4B" w:rsidRDefault="000A7E9A" w:rsidP="00EE0D4B">
    <w:pPr>
      <w:tabs>
        <w:tab w:val="center" w:pos="4153"/>
        <w:tab w:val="right" w:pos="8306"/>
      </w:tabs>
      <w:autoSpaceDE w:val="0"/>
      <w:autoSpaceDN w:val="0"/>
      <w:spacing w:line="240" w:lineRule="auto"/>
      <w:jc w:val="center"/>
      <w:rPr>
        <w:rFonts w:eastAsia="Times New Roman" w:cs="Times New Roman"/>
        <w:spacing w:val="-3"/>
        <w:szCs w:val="24"/>
        <w:lang w:eastAsia="ru-RU"/>
      </w:rPr>
    </w:pPr>
  </w:p>
  <w:p w:rsidR="000A7E9A" w:rsidRDefault="000A7E9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3F" w:rsidRDefault="0088593F" w:rsidP="005059BE">
      <w:pPr>
        <w:spacing w:line="240" w:lineRule="auto"/>
      </w:pPr>
      <w:r>
        <w:separator/>
      </w:r>
    </w:p>
  </w:footnote>
  <w:footnote w:type="continuationSeparator" w:id="0">
    <w:p w:rsidR="0088593F" w:rsidRDefault="0088593F" w:rsidP="00505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EC0" w:rsidRPr="004208BF" w:rsidRDefault="00D52EC0" w:rsidP="004D6779">
    <w:pPr>
      <w:tabs>
        <w:tab w:val="right" w:pos="9356"/>
      </w:tabs>
      <w:ind w:firstLine="0"/>
      <w:rPr>
        <w:bCs/>
        <w:sz w:val="1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6F8C14E"/>
    <w:lvl w:ilvl="0">
      <w:numFmt w:val="decimal"/>
      <w:lvlText w:val="*"/>
      <w:lvlJc w:val="left"/>
    </w:lvl>
  </w:abstractNum>
  <w:abstractNum w:abstractNumId="1" w15:restartNumberingAfterBreak="0">
    <w:nsid w:val="02FE0427"/>
    <w:multiLevelType w:val="multilevel"/>
    <w:tmpl w:val="53BCCC3C"/>
    <w:lvl w:ilvl="0">
      <w:start w:val="1"/>
      <w:numFmt w:val="decimal"/>
      <w:suff w:val="space"/>
      <w:lvlText w:val="%1."/>
      <w:lvlJc w:val="left"/>
      <w:pPr>
        <w:ind w:left="142"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2" w15:restartNumberingAfterBreak="0">
    <w:nsid w:val="036E5467"/>
    <w:multiLevelType w:val="multilevel"/>
    <w:tmpl w:val="CAFA8632"/>
    <w:styleLink w:val="a"/>
    <w:lvl w:ilvl="0">
      <w:start w:val="1"/>
      <w:numFmt w:val="decimal"/>
      <w:pStyle w:val="1"/>
      <w:suff w:val="space"/>
      <w:lvlText w:val="%1."/>
      <w:lvlJc w:val="left"/>
      <w:pPr>
        <w:ind w:left="0" w:firstLine="709"/>
      </w:pPr>
      <w:rPr>
        <w:rFonts w:hint="default"/>
      </w:rPr>
    </w:lvl>
    <w:lvl w:ilvl="1">
      <w:start w:val="1"/>
      <w:numFmt w:val="decimal"/>
      <w:lvlRestart w:val="0"/>
      <w:pStyle w:val="2"/>
      <w:suff w:val="space"/>
      <w:lvlText w:val="%1.%2."/>
      <w:lvlJc w:val="left"/>
      <w:pPr>
        <w:ind w:left="-709" w:firstLine="709"/>
      </w:pPr>
      <w:rPr>
        <w:rFonts w:hint="default"/>
      </w:rPr>
    </w:lvl>
    <w:lvl w:ilvl="2">
      <w:start w:val="1"/>
      <w:numFmt w:val="decimal"/>
      <w:pStyle w:val="3"/>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hint="default"/>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3" w15:restartNumberingAfterBreak="0">
    <w:nsid w:val="0B4A58F9"/>
    <w:multiLevelType w:val="multilevel"/>
    <w:tmpl w:val="80E692B6"/>
    <w:lvl w:ilvl="0">
      <w:start w:val="1"/>
      <w:numFmt w:val="decimal"/>
      <w:lvlText w:val="%1."/>
      <w:lvlJc w:val="left"/>
      <w:pPr>
        <w:tabs>
          <w:tab w:val="num" w:pos="927"/>
        </w:tabs>
        <w:ind w:firstLine="567"/>
      </w:pPr>
      <w:rPr>
        <w:rFonts w:hint="default"/>
      </w:rPr>
    </w:lvl>
    <w:lvl w:ilvl="1">
      <w:start w:val="3"/>
      <w:numFmt w:val="decimal"/>
      <w:isLgl/>
      <w:lvlText w:val="%1.%2."/>
      <w:lvlJc w:val="left"/>
      <w:pPr>
        <w:tabs>
          <w:tab w:val="num" w:pos="1587"/>
        </w:tabs>
        <w:ind w:left="1587" w:hanging="1020"/>
      </w:pPr>
      <w:rPr>
        <w:rFonts w:hint="default"/>
      </w:rPr>
    </w:lvl>
    <w:lvl w:ilvl="2">
      <w:start w:val="1"/>
      <w:numFmt w:val="decimal"/>
      <w:isLgl/>
      <w:lvlText w:val="%1.%2.%3."/>
      <w:lvlJc w:val="left"/>
      <w:pPr>
        <w:tabs>
          <w:tab w:val="num" w:pos="1587"/>
        </w:tabs>
        <w:ind w:left="1587" w:hanging="1020"/>
      </w:pPr>
      <w:rPr>
        <w:rFonts w:hint="default"/>
      </w:rPr>
    </w:lvl>
    <w:lvl w:ilvl="3">
      <w:start w:val="1"/>
      <w:numFmt w:val="decimal"/>
      <w:isLgl/>
      <w:lvlText w:val="%1.%2.%3.%4."/>
      <w:lvlJc w:val="left"/>
      <w:pPr>
        <w:tabs>
          <w:tab w:val="num" w:pos="1587"/>
        </w:tabs>
        <w:ind w:left="1587" w:hanging="10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 w15:restartNumberingAfterBreak="0">
    <w:nsid w:val="1178597C"/>
    <w:multiLevelType w:val="hybridMultilevel"/>
    <w:tmpl w:val="943EBB7C"/>
    <w:lvl w:ilvl="0" w:tplc="47B65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4B85D0F"/>
    <w:multiLevelType w:val="hybridMultilevel"/>
    <w:tmpl w:val="FCD2B1D4"/>
    <w:lvl w:ilvl="0" w:tplc="6FBAB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112439"/>
    <w:multiLevelType w:val="hybridMultilevel"/>
    <w:tmpl w:val="D930B944"/>
    <w:lvl w:ilvl="0" w:tplc="89CA7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3D211F"/>
    <w:multiLevelType w:val="hybridMultilevel"/>
    <w:tmpl w:val="B248007C"/>
    <w:lvl w:ilvl="0" w:tplc="D93C5E1A">
      <w:start w:val="1"/>
      <w:numFmt w:val="russianLower"/>
      <w:pStyle w:val="a0"/>
      <w:suff w:val="space"/>
      <w:lvlText w:val="%1)"/>
      <w:lvlJc w:val="left"/>
      <w:pPr>
        <w:ind w:left="-567"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15:restartNumberingAfterBreak="0">
    <w:nsid w:val="279363D2"/>
    <w:multiLevelType w:val="hybridMultilevel"/>
    <w:tmpl w:val="6BB201E4"/>
    <w:lvl w:ilvl="0" w:tplc="52BC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D7D5C3F"/>
    <w:multiLevelType w:val="hybridMultilevel"/>
    <w:tmpl w:val="8B301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B17333A"/>
    <w:multiLevelType w:val="multilevel"/>
    <w:tmpl w:val="AA4C970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3C721ED6"/>
    <w:multiLevelType w:val="hybridMultilevel"/>
    <w:tmpl w:val="179064F2"/>
    <w:lvl w:ilvl="0" w:tplc="FF82C0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1162FBA"/>
    <w:multiLevelType w:val="hybridMultilevel"/>
    <w:tmpl w:val="AB6CDE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3276A6E"/>
    <w:multiLevelType w:val="hybridMultilevel"/>
    <w:tmpl w:val="90CA1258"/>
    <w:lvl w:ilvl="0" w:tplc="25044EE2">
      <w:start w:val="1"/>
      <w:numFmt w:val="decimal"/>
      <w:lvlText w:val="%1."/>
      <w:lvlJc w:val="left"/>
      <w:pPr>
        <w:tabs>
          <w:tab w:val="num" w:pos="1135"/>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AB8291C"/>
    <w:multiLevelType w:val="hybridMultilevel"/>
    <w:tmpl w:val="8B301B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D816A21"/>
    <w:multiLevelType w:val="hybridMultilevel"/>
    <w:tmpl w:val="94C606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DC2728"/>
    <w:multiLevelType w:val="multilevel"/>
    <w:tmpl w:val="74F6818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6A4C42EE"/>
    <w:multiLevelType w:val="hybridMultilevel"/>
    <w:tmpl w:val="D6A2B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E2E35C6"/>
    <w:multiLevelType w:val="multilevel"/>
    <w:tmpl w:val="74F6818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EEA62A1"/>
    <w:multiLevelType w:val="multilevel"/>
    <w:tmpl w:val="AA4C970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79B44020"/>
    <w:multiLevelType w:val="hybridMultilevel"/>
    <w:tmpl w:val="78CE10D0"/>
    <w:lvl w:ilvl="0" w:tplc="04190011">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7"/>
  </w:num>
  <w:num w:numId="3">
    <w:abstractNumId w:val="14"/>
  </w:num>
  <w:num w:numId="4">
    <w:abstractNumId w:val="9"/>
  </w:num>
  <w:num w:numId="5">
    <w:abstractNumId w:val="5"/>
  </w:num>
  <w:num w:numId="6">
    <w:abstractNumId w:val="11"/>
  </w:num>
  <w:num w:numId="7">
    <w:abstractNumId w:val="6"/>
  </w:num>
  <w:num w:numId="8">
    <w:abstractNumId w:val="19"/>
  </w:num>
  <w:num w:numId="9">
    <w:abstractNumId w:val="2"/>
  </w:num>
  <w:num w:numId="10">
    <w:abstractNumId w:val="0"/>
    <w:lvlOverride w:ilvl="0">
      <w:lvl w:ilvl="0">
        <w:numFmt w:val="bullet"/>
        <w:lvlText w:val="•"/>
        <w:legacy w:legacy="1" w:legacySpace="0" w:legacyIndent="0"/>
        <w:lvlJc w:val="left"/>
        <w:rPr>
          <w:rFonts w:ascii="Times New Roman" w:hAnsi="Times New Roman" w:cs="Times New Roman" w:hint="default"/>
          <w:sz w:val="20"/>
          <w:szCs w:val="20"/>
        </w:rPr>
      </w:lvl>
    </w:lvlOverride>
  </w:num>
  <w:num w:numId="11">
    <w:abstractNumId w:val="2"/>
  </w:num>
  <w:num w:numId="12">
    <w:abstractNumId w:val="2"/>
  </w:num>
  <w:num w:numId="13">
    <w:abstractNumId w:val="2"/>
  </w:num>
  <w:num w:numId="14">
    <w:abstractNumId w:val="2"/>
  </w:num>
  <w:num w:numId="15">
    <w:abstractNumId w:val="16"/>
  </w:num>
  <w:num w:numId="16">
    <w:abstractNumId w:val="2"/>
  </w:num>
  <w:num w:numId="17">
    <w:abstractNumId w:val="12"/>
  </w:num>
  <w:num w:numId="18">
    <w:abstractNumId w:val="2"/>
  </w:num>
  <w:num w:numId="19">
    <w:abstractNumId w:val="18"/>
  </w:num>
  <w:num w:numId="20">
    <w:abstractNumId w:val="2"/>
  </w:num>
  <w:num w:numId="21">
    <w:abstractNumId w:val="2"/>
  </w:num>
  <w:num w:numId="22">
    <w:abstractNumId w:val="20"/>
  </w:num>
  <w:num w:numId="23">
    <w:abstractNumId w:val="2"/>
  </w:num>
  <w:num w:numId="24">
    <w:abstractNumId w:val="2"/>
  </w:num>
  <w:num w:numId="25">
    <w:abstractNumId w:val="10"/>
  </w:num>
  <w:num w:numId="26">
    <w:abstractNumId w:val="2"/>
  </w:num>
  <w:num w:numId="27">
    <w:abstractNumId w:val="2"/>
  </w:num>
  <w:num w:numId="28">
    <w:abstractNumId w:val="2"/>
  </w:num>
  <w:num w:numId="29">
    <w:abstractNumId w:val="2"/>
  </w:num>
  <w:num w:numId="30">
    <w:abstractNumId w:val="3"/>
  </w:num>
  <w:num w:numId="31">
    <w:abstractNumId w:val="13"/>
  </w:num>
  <w:num w:numId="32">
    <w:abstractNumId w:val="1"/>
  </w:num>
  <w:num w:numId="33">
    <w:abstractNumId w:val="15"/>
  </w:num>
  <w:num w:numId="34">
    <w:abstractNumId w:val="4"/>
  </w:num>
  <w:num w:numId="35">
    <w:abstractNumId w:val="8"/>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12"/>
    <w:rsid w:val="00000202"/>
    <w:rsid w:val="00002C13"/>
    <w:rsid w:val="00003B1B"/>
    <w:rsid w:val="00004A9B"/>
    <w:rsid w:val="0000665F"/>
    <w:rsid w:val="00013812"/>
    <w:rsid w:val="00015FA1"/>
    <w:rsid w:val="00017050"/>
    <w:rsid w:val="00023DC3"/>
    <w:rsid w:val="00024A1E"/>
    <w:rsid w:val="00026314"/>
    <w:rsid w:val="00026C73"/>
    <w:rsid w:val="00035733"/>
    <w:rsid w:val="00036B71"/>
    <w:rsid w:val="000452ED"/>
    <w:rsid w:val="00045A28"/>
    <w:rsid w:val="00045F81"/>
    <w:rsid w:val="00052B86"/>
    <w:rsid w:val="0005723A"/>
    <w:rsid w:val="00057774"/>
    <w:rsid w:val="00057F73"/>
    <w:rsid w:val="000628AD"/>
    <w:rsid w:val="00063708"/>
    <w:rsid w:val="00065A6D"/>
    <w:rsid w:val="000669A9"/>
    <w:rsid w:val="000675F5"/>
    <w:rsid w:val="0007058D"/>
    <w:rsid w:val="000728BB"/>
    <w:rsid w:val="00075214"/>
    <w:rsid w:val="00075509"/>
    <w:rsid w:val="0007658C"/>
    <w:rsid w:val="00077208"/>
    <w:rsid w:val="00077D42"/>
    <w:rsid w:val="00086829"/>
    <w:rsid w:val="000904CE"/>
    <w:rsid w:val="00092B6F"/>
    <w:rsid w:val="000932B0"/>
    <w:rsid w:val="00094238"/>
    <w:rsid w:val="00096C5A"/>
    <w:rsid w:val="000A0F98"/>
    <w:rsid w:val="000A1EFF"/>
    <w:rsid w:val="000A246A"/>
    <w:rsid w:val="000A2B27"/>
    <w:rsid w:val="000A7E9A"/>
    <w:rsid w:val="000B0EA4"/>
    <w:rsid w:val="000C3D38"/>
    <w:rsid w:val="000C4644"/>
    <w:rsid w:val="000D2A9E"/>
    <w:rsid w:val="000D2CF9"/>
    <w:rsid w:val="000D3FC0"/>
    <w:rsid w:val="000D5B85"/>
    <w:rsid w:val="000E3B19"/>
    <w:rsid w:val="000E54A4"/>
    <w:rsid w:val="000E54D5"/>
    <w:rsid w:val="000E569E"/>
    <w:rsid w:val="000E59F2"/>
    <w:rsid w:val="000F047C"/>
    <w:rsid w:val="000F2E13"/>
    <w:rsid w:val="000F4905"/>
    <w:rsid w:val="000F5547"/>
    <w:rsid w:val="000F7397"/>
    <w:rsid w:val="0010032F"/>
    <w:rsid w:val="00104AAE"/>
    <w:rsid w:val="00106D91"/>
    <w:rsid w:val="001071FB"/>
    <w:rsid w:val="0010733C"/>
    <w:rsid w:val="0011092E"/>
    <w:rsid w:val="0011101C"/>
    <w:rsid w:val="00111DAD"/>
    <w:rsid w:val="0011358B"/>
    <w:rsid w:val="0011508D"/>
    <w:rsid w:val="0011547E"/>
    <w:rsid w:val="00120571"/>
    <w:rsid w:val="00121F3D"/>
    <w:rsid w:val="001240C5"/>
    <w:rsid w:val="00125523"/>
    <w:rsid w:val="00127205"/>
    <w:rsid w:val="00127CB6"/>
    <w:rsid w:val="001301DD"/>
    <w:rsid w:val="0013040C"/>
    <w:rsid w:val="0014065E"/>
    <w:rsid w:val="00142549"/>
    <w:rsid w:val="00147F60"/>
    <w:rsid w:val="0015015A"/>
    <w:rsid w:val="00151AC0"/>
    <w:rsid w:val="0015247F"/>
    <w:rsid w:val="001547DD"/>
    <w:rsid w:val="00162CEF"/>
    <w:rsid w:val="00170929"/>
    <w:rsid w:val="00171A29"/>
    <w:rsid w:val="001738B9"/>
    <w:rsid w:val="001779BD"/>
    <w:rsid w:val="00195598"/>
    <w:rsid w:val="001A1200"/>
    <w:rsid w:val="001A5B2D"/>
    <w:rsid w:val="001B2250"/>
    <w:rsid w:val="001B250B"/>
    <w:rsid w:val="001B359E"/>
    <w:rsid w:val="001B7D5A"/>
    <w:rsid w:val="001D575E"/>
    <w:rsid w:val="001E12B8"/>
    <w:rsid w:val="001E1A25"/>
    <w:rsid w:val="001E1B81"/>
    <w:rsid w:val="001E1D6B"/>
    <w:rsid w:val="001E54A9"/>
    <w:rsid w:val="001E559A"/>
    <w:rsid w:val="001E5DC5"/>
    <w:rsid w:val="001F4D83"/>
    <w:rsid w:val="00201054"/>
    <w:rsid w:val="00204D4E"/>
    <w:rsid w:val="0021197F"/>
    <w:rsid w:val="00212BEA"/>
    <w:rsid w:val="00212C29"/>
    <w:rsid w:val="00215F0E"/>
    <w:rsid w:val="00217AA6"/>
    <w:rsid w:val="0022573F"/>
    <w:rsid w:val="00227A4F"/>
    <w:rsid w:val="002312B3"/>
    <w:rsid w:val="00231E50"/>
    <w:rsid w:val="00233984"/>
    <w:rsid w:val="00235D05"/>
    <w:rsid w:val="00240DA6"/>
    <w:rsid w:val="00243E84"/>
    <w:rsid w:val="00245071"/>
    <w:rsid w:val="00251864"/>
    <w:rsid w:val="00254B21"/>
    <w:rsid w:val="0025523B"/>
    <w:rsid w:val="00256DC7"/>
    <w:rsid w:val="00260B43"/>
    <w:rsid w:val="0026454A"/>
    <w:rsid w:val="00264F92"/>
    <w:rsid w:val="00266A92"/>
    <w:rsid w:val="00272D49"/>
    <w:rsid w:val="0027356A"/>
    <w:rsid w:val="0027477D"/>
    <w:rsid w:val="0027770E"/>
    <w:rsid w:val="00282A9B"/>
    <w:rsid w:val="00287643"/>
    <w:rsid w:val="00294E7E"/>
    <w:rsid w:val="00296C7A"/>
    <w:rsid w:val="002A28E5"/>
    <w:rsid w:val="002B1E12"/>
    <w:rsid w:val="002B3E6D"/>
    <w:rsid w:val="002C046B"/>
    <w:rsid w:val="002C053C"/>
    <w:rsid w:val="002C48AF"/>
    <w:rsid w:val="002C59AC"/>
    <w:rsid w:val="002D0506"/>
    <w:rsid w:val="002D6761"/>
    <w:rsid w:val="002D6943"/>
    <w:rsid w:val="002D6D64"/>
    <w:rsid w:val="002E3851"/>
    <w:rsid w:val="002E4250"/>
    <w:rsid w:val="002E6B6F"/>
    <w:rsid w:val="002F1E26"/>
    <w:rsid w:val="002F51F0"/>
    <w:rsid w:val="002F7144"/>
    <w:rsid w:val="003016D3"/>
    <w:rsid w:val="00304D40"/>
    <w:rsid w:val="003063ED"/>
    <w:rsid w:val="00314A96"/>
    <w:rsid w:val="00317320"/>
    <w:rsid w:val="00322E16"/>
    <w:rsid w:val="00323C9A"/>
    <w:rsid w:val="003301E9"/>
    <w:rsid w:val="0033075B"/>
    <w:rsid w:val="00332BD3"/>
    <w:rsid w:val="00332C78"/>
    <w:rsid w:val="003343A7"/>
    <w:rsid w:val="003379DB"/>
    <w:rsid w:val="00341443"/>
    <w:rsid w:val="003418CE"/>
    <w:rsid w:val="00342070"/>
    <w:rsid w:val="0034499A"/>
    <w:rsid w:val="003502F8"/>
    <w:rsid w:val="00354EA6"/>
    <w:rsid w:val="003563E2"/>
    <w:rsid w:val="003751D2"/>
    <w:rsid w:val="00380621"/>
    <w:rsid w:val="00383A54"/>
    <w:rsid w:val="0038430F"/>
    <w:rsid w:val="00391D69"/>
    <w:rsid w:val="00393F63"/>
    <w:rsid w:val="00395439"/>
    <w:rsid w:val="00396EF6"/>
    <w:rsid w:val="003A1612"/>
    <w:rsid w:val="003A2D62"/>
    <w:rsid w:val="003A7862"/>
    <w:rsid w:val="003B2C61"/>
    <w:rsid w:val="003C0314"/>
    <w:rsid w:val="003C0478"/>
    <w:rsid w:val="003C55C3"/>
    <w:rsid w:val="003C76A5"/>
    <w:rsid w:val="003D181A"/>
    <w:rsid w:val="003D2990"/>
    <w:rsid w:val="003D574C"/>
    <w:rsid w:val="003D78E6"/>
    <w:rsid w:val="003E3CAE"/>
    <w:rsid w:val="003E3DCF"/>
    <w:rsid w:val="003E58CC"/>
    <w:rsid w:val="003E5DC4"/>
    <w:rsid w:val="003E73B3"/>
    <w:rsid w:val="003F7065"/>
    <w:rsid w:val="004000CD"/>
    <w:rsid w:val="00401164"/>
    <w:rsid w:val="00405942"/>
    <w:rsid w:val="00405A84"/>
    <w:rsid w:val="00406837"/>
    <w:rsid w:val="00414A13"/>
    <w:rsid w:val="00415E1C"/>
    <w:rsid w:val="00416E67"/>
    <w:rsid w:val="004208BF"/>
    <w:rsid w:val="00424436"/>
    <w:rsid w:val="00424952"/>
    <w:rsid w:val="00424984"/>
    <w:rsid w:val="00425DFA"/>
    <w:rsid w:val="0043172B"/>
    <w:rsid w:val="004327DB"/>
    <w:rsid w:val="004363C1"/>
    <w:rsid w:val="00436F4B"/>
    <w:rsid w:val="00445253"/>
    <w:rsid w:val="004504BB"/>
    <w:rsid w:val="0045148A"/>
    <w:rsid w:val="00451559"/>
    <w:rsid w:val="00462535"/>
    <w:rsid w:val="004648A5"/>
    <w:rsid w:val="00464EC2"/>
    <w:rsid w:val="00471750"/>
    <w:rsid w:val="004755E2"/>
    <w:rsid w:val="004770B5"/>
    <w:rsid w:val="004772CC"/>
    <w:rsid w:val="00483E0D"/>
    <w:rsid w:val="0049109E"/>
    <w:rsid w:val="00492007"/>
    <w:rsid w:val="004A28C5"/>
    <w:rsid w:val="004A3AFF"/>
    <w:rsid w:val="004A3CAA"/>
    <w:rsid w:val="004A40A0"/>
    <w:rsid w:val="004A43D2"/>
    <w:rsid w:val="004A5560"/>
    <w:rsid w:val="004B325B"/>
    <w:rsid w:val="004C066B"/>
    <w:rsid w:val="004C144C"/>
    <w:rsid w:val="004C39A6"/>
    <w:rsid w:val="004C7079"/>
    <w:rsid w:val="004D195E"/>
    <w:rsid w:val="004D3923"/>
    <w:rsid w:val="004D5EE4"/>
    <w:rsid w:val="004D649A"/>
    <w:rsid w:val="004D6779"/>
    <w:rsid w:val="004E064E"/>
    <w:rsid w:val="004E413A"/>
    <w:rsid w:val="004E4A53"/>
    <w:rsid w:val="004F6688"/>
    <w:rsid w:val="005035B1"/>
    <w:rsid w:val="005059BE"/>
    <w:rsid w:val="00510F74"/>
    <w:rsid w:val="00511546"/>
    <w:rsid w:val="0051214A"/>
    <w:rsid w:val="0051275A"/>
    <w:rsid w:val="00512B76"/>
    <w:rsid w:val="00522B81"/>
    <w:rsid w:val="00524D5A"/>
    <w:rsid w:val="0052597B"/>
    <w:rsid w:val="00531445"/>
    <w:rsid w:val="00532D2F"/>
    <w:rsid w:val="0053634B"/>
    <w:rsid w:val="00542176"/>
    <w:rsid w:val="00546B6B"/>
    <w:rsid w:val="00546D37"/>
    <w:rsid w:val="00550BAA"/>
    <w:rsid w:val="00552E12"/>
    <w:rsid w:val="00562D5D"/>
    <w:rsid w:val="00567D21"/>
    <w:rsid w:val="0057517D"/>
    <w:rsid w:val="005759D1"/>
    <w:rsid w:val="00575AD5"/>
    <w:rsid w:val="005805C5"/>
    <w:rsid w:val="00582520"/>
    <w:rsid w:val="0058637E"/>
    <w:rsid w:val="00590958"/>
    <w:rsid w:val="00591ED1"/>
    <w:rsid w:val="005935F0"/>
    <w:rsid w:val="00597419"/>
    <w:rsid w:val="005A0E8C"/>
    <w:rsid w:val="005A6E4D"/>
    <w:rsid w:val="005B16A6"/>
    <w:rsid w:val="005B3EEA"/>
    <w:rsid w:val="005B5E81"/>
    <w:rsid w:val="005B7B6B"/>
    <w:rsid w:val="005B7C1F"/>
    <w:rsid w:val="005D10CF"/>
    <w:rsid w:val="005D3880"/>
    <w:rsid w:val="005D45DC"/>
    <w:rsid w:val="005D4E17"/>
    <w:rsid w:val="005D6D81"/>
    <w:rsid w:val="005E01AE"/>
    <w:rsid w:val="005E1011"/>
    <w:rsid w:val="005E5477"/>
    <w:rsid w:val="005E7C6F"/>
    <w:rsid w:val="005F208D"/>
    <w:rsid w:val="005F2378"/>
    <w:rsid w:val="005F2AF5"/>
    <w:rsid w:val="005F2CAF"/>
    <w:rsid w:val="005F703E"/>
    <w:rsid w:val="00600C74"/>
    <w:rsid w:val="00600F5C"/>
    <w:rsid w:val="00615175"/>
    <w:rsid w:val="0061526A"/>
    <w:rsid w:val="00622BE4"/>
    <w:rsid w:val="00626605"/>
    <w:rsid w:val="00631DAF"/>
    <w:rsid w:val="00640DED"/>
    <w:rsid w:val="006430EB"/>
    <w:rsid w:val="00645CFB"/>
    <w:rsid w:val="0065296D"/>
    <w:rsid w:val="00653ED1"/>
    <w:rsid w:val="00656171"/>
    <w:rsid w:val="00665F9D"/>
    <w:rsid w:val="00680ECD"/>
    <w:rsid w:val="00681811"/>
    <w:rsid w:val="00692C63"/>
    <w:rsid w:val="00692F4E"/>
    <w:rsid w:val="0069548A"/>
    <w:rsid w:val="006A001B"/>
    <w:rsid w:val="006A18CC"/>
    <w:rsid w:val="006A6EE6"/>
    <w:rsid w:val="006B30B0"/>
    <w:rsid w:val="006B545A"/>
    <w:rsid w:val="006B6796"/>
    <w:rsid w:val="006C21F2"/>
    <w:rsid w:val="006C680F"/>
    <w:rsid w:val="006C6F2F"/>
    <w:rsid w:val="006C6FD0"/>
    <w:rsid w:val="006D2D08"/>
    <w:rsid w:val="006D58BD"/>
    <w:rsid w:val="006D5A59"/>
    <w:rsid w:val="006D6A77"/>
    <w:rsid w:val="006E0E48"/>
    <w:rsid w:val="006E1C49"/>
    <w:rsid w:val="006E2B4F"/>
    <w:rsid w:val="006E7C55"/>
    <w:rsid w:val="006F5382"/>
    <w:rsid w:val="006F5D1E"/>
    <w:rsid w:val="006F6FB0"/>
    <w:rsid w:val="006F7ADD"/>
    <w:rsid w:val="00702291"/>
    <w:rsid w:val="00711561"/>
    <w:rsid w:val="007115FA"/>
    <w:rsid w:val="00713882"/>
    <w:rsid w:val="007151C0"/>
    <w:rsid w:val="00716CFD"/>
    <w:rsid w:val="0072115B"/>
    <w:rsid w:val="007276B3"/>
    <w:rsid w:val="00727A57"/>
    <w:rsid w:val="00733025"/>
    <w:rsid w:val="00740214"/>
    <w:rsid w:val="00744778"/>
    <w:rsid w:val="007453ED"/>
    <w:rsid w:val="00745807"/>
    <w:rsid w:val="00745E78"/>
    <w:rsid w:val="00753292"/>
    <w:rsid w:val="00761C8F"/>
    <w:rsid w:val="00766527"/>
    <w:rsid w:val="007708A9"/>
    <w:rsid w:val="00770E28"/>
    <w:rsid w:val="007721D5"/>
    <w:rsid w:val="00773477"/>
    <w:rsid w:val="00780C87"/>
    <w:rsid w:val="00782B4B"/>
    <w:rsid w:val="00783ECC"/>
    <w:rsid w:val="00784598"/>
    <w:rsid w:val="0078763B"/>
    <w:rsid w:val="00796E78"/>
    <w:rsid w:val="00797698"/>
    <w:rsid w:val="007A104B"/>
    <w:rsid w:val="007A1D24"/>
    <w:rsid w:val="007A33C1"/>
    <w:rsid w:val="007B3B74"/>
    <w:rsid w:val="007B45AB"/>
    <w:rsid w:val="007B5B78"/>
    <w:rsid w:val="007B7BA6"/>
    <w:rsid w:val="007C6705"/>
    <w:rsid w:val="007D0CBC"/>
    <w:rsid w:val="007D175F"/>
    <w:rsid w:val="007D2546"/>
    <w:rsid w:val="007D3362"/>
    <w:rsid w:val="007D4423"/>
    <w:rsid w:val="007D44F4"/>
    <w:rsid w:val="007D6F18"/>
    <w:rsid w:val="007E0B3D"/>
    <w:rsid w:val="007E2A02"/>
    <w:rsid w:val="007E44F2"/>
    <w:rsid w:val="007E7B2F"/>
    <w:rsid w:val="007F1384"/>
    <w:rsid w:val="007F42CD"/>
    <w:rsid w:val="007F4663"/>
    <w:rsid w:val="007F7154"/>
    <w:rsid w:val="008053D8"/>
    <w:rsid w:val="0080623C"/>
    <w:rsid w:val="00810AAB"/>
    <w:rsid w:val="00812120"/>
    <w:rsid w:val="00822D70"/>
    <w:rsid w:val="00824686"/>
    <w:rsid w:val="008267B6"/>
    <w:rsid w:val="00826C4B"/>
    <w:rsid w:val="00827397"/>
    <w:rsid w:val="00834C8C"/>
    <w:rsid w:val="008478BF"/>
    <w:rsid w:val="00847AF2"/>
    <w:rsid w:val="0085313D"/>
    <w:rsid w:val="00855A18"/>
    <w:rsid w:val="0085650F"/>
    <w:rsid w:val="008657E0"/>
    <w:rsid w:val="00865FB5"/>
    <w:rsid w:val="00872EA3"/>
    <w:rsid w:val="0087366F"/>
    <w:rsid w:val="00875181"/>
    <w:rsid w:val="00877520"/>
    <w:rsid w:val="00877693"/>
    <w:rsid w:val="008777DA"/>
    <w:rsid w:val="00880D1A"/>
    <w:rsid w:val="00883A03"/>
    <w:rsid w:val="0088593F"/>
    <w:rsid w:val="00887751"/>
    <w:rsid w:val="00895A7D"/>
    <w:rsid w:val="008969A3"/>
    <w:rsid w:val="00896B88"/>
    <w:rsid w:val="00897DAC"/>
    <w:rsid w:val="008A106D"/>
    <w:rsid w:val="008A23A1"/>
    <w:rsid w:val="008A297A"/>
    <w:rsid w:val="008A5429"/>
    <w:rsid w:val="008A7014"/>
    <w:rsid w:val="008B284A"/>
    <w:rsid w:val="008B2CFC"/>
    <w:rsid w:val="008B31BA"/>
    <w:rsid w:val="008C0D38"/>
    <w:rsid w:val="008C4DCE"/>
    <w:rsid w:val="008D0028"/>
    <w:rsid w:val="008E07D1"/>
    <w:rsid w:val="008E2ACB"/>
    <w:rsid w:val="008E3144"/>
    <w:rsid w:val="008E3433"/>
    <w:rsid w:val="008E37BB"/>
    <w:rsid w:val="008E3B1E"/>
    <w:rsid w:val="008F1983"/>
    <w:rsid w:val="008F5126"/>
    <w:rsid w:val="00902982"/>
    <w:rsid w:val="00902D27"/>
    <w:rsid w:val="009055FA"/>
    <w:rsid w:val="00907C0F"/>
    <w:rsid w:val="009111CE"/>
    <w:rsid w:val="00911CD0"/>
    <w:rsid w:val="00911CD9"/>
    <w:rsid w:val="009158C2"/>
    <w:rsid w:val="0091781B"/>
    <w:rsid w:val="0092055C"/>
    <w:rsid w:val="00920F72"/>
    <w:rsid w:val="00922A1F"/>
    <w:rsid w:val="00923364"/>
    <w:rsid w:val="0092509B"/>
    <w:rsid w:val="00926238"/>
    <w:rsid w:val="00927D81"/>
    <w:rsid w:val="009438F9"/>
    <w:rsid w:val="00944BFA"/>
    <w:rsid w:val="00956A9F"/>
    <w:rsid w:val="009571D7"/>
    <w:rsid w:val="00957DBA"/>
    <w:rsid w:val="00973882"/>
    <w:rsid w:val="0098447B"/>
    <w:rsid w:val="00985F00"/>
    <w:rsid w:val="0098708F"/>
    <w:rsid w:val="00987DAA"/>
    <w:rsid w:val="009915AC"/>
    <w:rsid w:val="00992855"/>
    <w:rsid w:val="00995565"/>
    <w:rsid w:val="009A2918"/>
    <w:rsid w:val="009B7C9D"/>
    <w:rsid w:val="009C509D"/>
    <w:rsid w:val="009C5A1E"/>
    <w:rsid w:val="009C62FC"/>
    <w:rsid w:val="009D04EC"/>
    <w:rsid w:val="009D0503"/>
    <w:rsid w:val="009D3810"/>
    <w:rsid w:val="009E43DA"/>
    <w:rsid w:val="009F216E"/>
    <w:rsid w:val="009F540D"/>
    <w:rsid w:val="009F565C"/>
    <w:rsid w:val="009F5669"/>
    <w:rsid w:val="00A01024"/>
    <w:rsid w:val="00A04221"/>
    <w:rsid w:val="00A0455F"/>
    <w:rsid w:val="00A061D0"/>
    <w:rsid w:val="00A11075"/>
    <w:rsid w:val="00A12394"/>
    <w:rsid w:val="00A14E09"/>
    <w:rsid w:val="00A15851"/>
    <w:rsid w:val="00A243A2"/>
    <w:rsid w:val="00A24AC3"/>
    <w:rsid w:val="00A27835"/>
    <w:rsid w:val="00A32357"/>
    <w:rsid w:val="00A375B3"/>
    <w:rsid w:val="00A37B3A"/>
    <w:rsid w:val="00A40DB0"/>
    <w:rsid w:val="00A5250E"/>
    <w:rsid w:val="00A53C9D"/>
    <w:rsid w:val="00A542FA"/>
    <w:rsid w:val="00A56D92"/>
    <w:rsid w:val="00A572CE"/>
    <w:rsid w:val="00A60070"/>
    <w:rsid w:val="00A6175E"/>
    <w:rsid w:val="00A67E24"/>
    <w:rsid w:val="00A70FE4"/>
    <w:rsid w:val="00A71292"/>
    <w:rsid w:val="00A72FC0"/>
    <w:rsid w:val="00A740F6"/>
    <w:rsid w:val="00A75D18"/>
    <w:rsid w:val="00A80BE9"/>
    <w:rsid w:val="00A83330"/>
    <w:rsid w:val="00A834E2"/>
    <w:rsid w:val="00A85C00"/>
    <w:rsid w:val="00A869AB"/>
    <w:rsid w:val="00A91FAE"/>
    <w:rsid w:val="00A92917"/>
    <w:rsid w:val="00AA0B9D"/>
    <w:rsid w:val="00AA2EE5"/>
    <w:rsid w:val="00AA476A"/>
    <w:rsid w:val="00AA71AD"/>
    <w:rsid w:val="00AB0B58"/>
    <w:rsid w:val="00AB2F82"/>
    <w:rsid w:val="00AB3E0F"/>
    <w:rsid w:val="00AC3C33"/>
    <w:rsid w:val="00AC4907"/>
    <w:rsid w:val="00AC541D"/>
    <w:rsid w:val="00AC58EF"/>
    <w:rsid w:val="00AC7FF1"/>
    <w:rsid w:val="00AD0829"/>
    <w:rsid w:val="00AD0ABE"/>
    <w:rsid w:val="00AD28B5"/>
    <w:rsid w:val="00AD2DB7"/>
    <w:rsid w:val="00AD53C5"/>
    <w:rsid w:val="00AE464F"/>
    <w:rsid w:val="00AF0296"/>
    <w:rsid w:val="00AF1F78"/>
    <w:rsid w:val="00AF57A4"/>
    <w:rsid w:val="00AF5DDC"/>
    <w:rsid w:val="00AF73BF"/>
    <w:rsid w:val="00AF7836"/>
    <w:rsid w:val="00B01DF1"/>
    <w:rsid w:val="00B131F7"/>
    <w:rsid w:val="00B14DBF"/>
    <w:rsid w:val="00B21B10"/>
    <w:rsid w:val="00B21F3C"/>
    <w:rsid w:val="00B2544F"/>
    <w:rsid w:val="00B276B9"/>
    <w:rsid w:val="00B27D1F"/>
    <w:rsid w:val="00B30169"/>
    <w:rsid w:val="00B324B9"/>
    <w:rsid w:val="00B50552"/>
    <w:rsid w:val="00B5285A"/>
    <w:rsid w:val="00B54436"/>
    <w:rsid w:val="00B54E0B"/>
    <w:rsid w:val="00B55066"/>
    <w:rsid w:val="00B5599B"/>
    <w:rsid w:val="00B572F6"/>
    <w:rsid w:val="00B5737A"/>
    <w:rsid w:val="00B64548"/>
    <w:rsid w:val="00B6647D"/>
    <w:rsid w:val="00B67112"/>
    <w:rsid w:val="00B6791C"/>
    <w:rsid w:val="00B803D7"/>
    <w:rsid w:val="00B80FD5"/>
    <w:rsid w:val="00B8126E"/>
    <w:rsid w:val="00B845E6"/>
    <w:rsid w:val="00B921F8"/>
    <w:rsid w:val="00B93B73"/>
    <w:rsid w:val="00BA46B2"/>
    <w:rsid w:val="00BA5C19"/>
    <w:rsid w:val="00BA6D14"/>
    <w:rsid w:val="00BB1AE8"/>
    <w:rsid w:val="00BB227C"/>
    <w:rsid w:val="00BB5094"/>
    <w:rsid w:val="00BC1F90"/>
    <w:rsid w:val="00BC706C"/>
    <w:rsid w:val="00BC7C65"/>
    <w:rsid w:val="00BD4D48"/>
    <w:rsid w:val="00BD7853"/>
    <w:rsid w:val="00BD7CC6"/>
    <w:rsid w:val="00BD7F3D"/>
    <w:rsid w:val="00BE07EE"/>
    <w:rsid w:val="00BE0983"/>
    <w:rsid w:val="00BE247C"/>
    <w:rsid w:val="00BE2C87"/>
    <w:rsid w:val="00BE383A"/>
    <w:rsid w:val="00BE58B1"/>
    <w:rsid w:val="00BE6CF4"/>
    <w:rsid w:val="00BE78C9"/>
    <w:rsid w:val="00BF06BD"/>
    <w:rsid w:val="00BF388F"/>
    <w:rsid w:val="00BF410F"/>
    <w:rsid w:val="00BF5635"/>
    <w:rsid w:val="00C009DB"/>
    <w:rsid w:val="00C0195E"/>
    <w:rsid w:val="00C02D98"/>
    <w:rsid w:val="00C044BE"/>
    <w:rsid w:val="00C1168B"/>
    <w:rsid w:val="00C1207F"/>
    <w:rsid w:val="00C1327E"/>
    <w:rsid w:val="00C2006A"/>
    <w:rsid w:val="00C33825"/>
    <w:rsid w:val="00C40B77"/>
    <w:rsid w:val="00C4235D"/>
    <w:rsid w:val="00C43A6D"/>
    <w:rsid w:val="00C505DF"/>
    <w:rsid w:val="00C51180"/>
    <w:rsid w:val="00C5496A"/>
    <w:rsid w:val="00C55FAC"/>
    <w:rsid w:val="00C56DAA"/>
    <w:rsid w:val="00C6203F"/>
    <w:rsid w:val="00C709D5"/>
    <w:rsid w:val="00C723AA"/>
    <w:rsid w:val="00C73C8B"/>
    <w:rsid w:val="00C76420"/>
    <w:rsid w:val="00C81927"/>
    <w:rsid w:val="00C81B41"/>
    <w:rsid w:val="00C87112"/>
    <w:rsid w:val="00C87900"/>
    <w:rsid w:val="00C909CE"/>
    <w:rsid w:val="00C934F0"/>
    <w:rsid w:val="00CA4453"/>
    <w:rsid w:val="00CA684B"/>
    <w:rsid w:val="00CB43C5"/>
    <w:rsid w:val="00CB5C22"/>
    <w:rsid w:val="00CC33BA"/>
    <w:rsid w:val="00CE06DE"/>
    <w:rsid w:val="00CE574C"/>
    <w:rsid w:val="00CE7996"/>
    <w:rsid w:val="00CF0A48"/>
    <w:rsid w:val="00CF0DB0"/>
    <w:rsid w:val="00CF11D5"/>
    <w:rsid w:val="00CF3769"/>
    <w:rsid w:val="00CF62C1"/>
    <w:rsid w:val="00D00DBD"/>
    <w:rsid w:val="00D01180"/>
    <w:rsid w:val="00D03A54"/>
    <w:rsid w:val="00D03FFF"/>
    <w:rsid w:val="00D054F4"/>
    <w:rsid w:val="00D1193F"/>
    <w:rsid w:val="00D11EDD"/>
    <w:rsid w:val="00D17367"/>
    <w:rsid w:val="00D17E97"/>
    <w:rsid w:val="00D221E1"/>
    <w:rsid w:val="00D2363A"/>
    <w:rsid w:val="00D23CED"/>
    <w:rsid w:val="00D258F3"/>
    <w:rsid w:val="00D344A1"/>
    <w:rsid w:val="00D34A77"/>
    <w:rsid w:val="00D374BD"/>
    <w:rsid w:val="00D52EC0"/>
    <w:rsid w:val="00D533EB"/>
    <w:rsid w:val="00D535CE"/>
    <w:rsid w:val="00D71FF1"/>
    <w:rsid w:val="00D7316A"/>
    <w:rsid w:val="00D746BE"/>
    <w:rsid w:val="00D74F06"/>
    <w:rsid w:val="00D75383"/>
    <w:rsid w:val="00D75944"/>
    <w:rsid w:val="00D76D31"/>
    <w:rsid w:val="00D76FC8"/>
    <w:rsid w:val="00D7756A"/>
    <w:rsid w:val="00D81C9A"/>
    <w:rsid w:val="00D82E43"/>
    <w:rsid w:val="00D8750E"/>
    <w:rsid w:val="00D92449"/>
    <w:rsid w:val="00D95B26"/>
    <w:rsid w:val="00D97AB3"/>
    <w:rsid w:val="00DA0A94"/>
    <w:rsid w:val="00DA4B95"/>
    <w:rsid w:val="00DB0AA3"/>
    <w:rsid w:val="00DC1D89"/>
    <w:rsid w:val="00DC4DA1"/>
    <w:rsid w:val="00DC5ADA"/>
    <w:rsid w:val="00DE151C"/>
    <w:rsid w:val="00DE239C"/>
    <w:rsid w:val="00DE3581"/>
    <w:rsid w:val="00DE574B"/>
    <w:rsid w:val="00DE680F"/>
    <w:rsid w:val="00DF13C0"/>
    <w:rsid w:val="00DF187B"/>
    <w:rsid w:val="00DF42E1"/>
    <w:rsid w:val="00DF57D9"/>
    <w:rsid w:val="00E011D0"/>
    <w:rsid w:val="00E03826"/>
    <w:rsid w:val="00E227E8"/>
    <w:rsid w:val="00E25E6C"/>
    <w:rsid w:val="00E32A7C"/>
    <w:rsid w:val="00E3360B"/>
    <w:rsid w:val="00E3504C"/>
    <w:rsid w:val="00E40C36"/>
    <w:rsid w:val="00E42B91"/>
    <w:rsid w:val="00E511F2"/>
    <w:rsid w:val="00E6222C"/>
    <w:rsid w:val="00E71518"/>
    <w:rsid w:val="00E727AF"/>
    <w:rsid w:val="00E84601"/>
    <w:rsid w:val="00E84A87"/>
    <w:rsid w:val="00E85EEB"/>
    <w:rsid w:val="00EA354F"/>
    <w:rsid w:val="00EB11C3"/>
    <w:rsid w:val="00EB14FC"/>
    <w:rsid w:val="00EB2601"/>
    <w:rsid w:val="00EC029C"/>
    <w:rsid w:val="00EC1B44"/>
    <w:rsid w:val="00EC208C"/>
    <w:rsid w:val="00EC5B4A"/>
    <w:rsid w:val="00EC5CEF"/>
    <w:rsid w:val="00EC76AC"/>
    <w:rsid w:val="00EC78FC"/>
    <w:rsid w:val="00EC7F00"/>
    <w:rsid w:val="00ED0213"/>
    <w:rsid w:val="00ED586D"/>
    <w:rsid w:val="00ED7040"/>
    <w:rsid w:val="00EE0D4B"/>
    <w:rsid w:val="00EE0E6F"/>
    <w:rsid w:val="00EE1D1D"/>
    <w:rsid w:val="00EF45FE"/>
    <w:rsid w:val="00EF770E"/>
    <w:rsid w:val="00F02572"/>
    <w:rsid w:val="00F139DF"/>
    <w:rsid w:val="00F17FEF"/>
    <w:rsid w:val="00F2268D"/>
    <w:rsid w:val="00F26618"/>
    <w:rsid w:val="00F26DD2"/>
    <w:rsid w:val="00F27EC7"/>
    <w:rsid w:val="00F301D8"/>
    <w:rsid w:val="00F357C1"/>
    <w:rsid w:val="00F40606"/>
    <w:rsid w:val="00F41309"/>
    <w:rsid w:val="00F44D02"/>
    <w:rsid w:val="00F4601F"/>
    <w:rsid w:val="00F478F0"/>
    <w:rsid w:val="00F520CE"/>
    <w:rsid w:val="00F52DB1"/>
    <w:rsid w:val="00F55EE8"/>
    <w:rsid w:val="00F618A3"/>
    <w:rsid w:val="00F63A3B"/>
    <w:rsid w:val="00F65E70"/>
    <w:rsid w:val="00F70B79"/>
    <w:rsid w:val="00F748A3"/>
    <w:rsid w:val="00F76AD5"/>
    <w:rsid w:val="00F7775C"/>
    <w:rsid w:val="00F8418E"/>
    <w:rsid w:val="00F846A6"/>
    <w:rsid w:val="00F876C3"/>
    <w:rsid w:val="00F90076"/>
    <w:rsid w:val="00F90586"/>
    <w:rsid w:val="00F93561"/>
    <w:rsid w:val="00F93A6F"/>
    <w:rsid w:val="00F9629C"/>
    <w:rsid w:val="00F96495"/>
    <w:rsid w:val="00F964A5"/>
    <w:rsid w:val="00F97201"/>
    <w:rsid w:val="00FA1C07"/>
    <w:rsid w:val="00FA2D50"/>
    <w:rsid w:val="00FB03D7"/>
    <w:rsid w:val="00FB37A8"/>
    <w:rsid w:val="00FB463E"/>
    <w:rsid w:val="00FB4F3E"/>
    <w:rsid w:val="00FC154C"/>
    <w:rsid w:val="00FC4650"/>
    <w:rsid w:val="00FC74DF"/>
    <w:rsid w:val="00FD3520"/>
    <w:rsid w:val="00FD547A"/>
    <w:rsid w:val="00FD5649"/>
    <w:rsid w:val="00FD75FD"/>
    <w:rsid w:val="00FE345F"/>
    <w:rsid w:val="00FE5628"/>
    <w:rsid w:val="00FE6D88"/>
    <w:rsid w:val="00FE7E64"/>
    <w:rsid w:val="00FF1EA4"/>
    <w:rsid w:val="00FF47B5"/>
    <w:rsid w:val="00FF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1C8A8"/>
  <w15:docId w15:val="{4CA0EFDA-4848-4FD2-BBA3-8D1ECA4FC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20F72"/>
    <w:pPr>
      <w:spacing w:after="0" w:line="276" w:lineRule="auto"/>
      <w:ind w:firstLine="709"/>
      <w:jc w:val="both"/>
    </w:pPr>
  </w:style>
  <w:style w:type="paragraph" w:styleId="1">
    <w:name w:val="heading 1"/>
    <w:basedOn w:val="a1"/>
    <w:next w:val="a1"/>
    <w:link w:val="10"/>
    <w:uiPriority w:val="9"/>
    <w:qFormat/>
    <w:rsid w:val="00645CFB"/>
    <w:pPr>
      <w:keepNext/>
      <w:keepLines/>
      <w:numPr>
        <w:numId w:val="1"/>
      </w:numPr>
      <w:spacing w:line="240" w:lineRule="auto"/>
      <w:outlineLvl w:val="0"/>
    </w:pPr>
    <w:rPr>
      <w:rFonts w:eastAsia="Times New Roman" w:cs="Times New Roman"/>
      <w:b/>
      <w:bCs/>
      <w:szCs w:val="28"/>
    </w:rPr>
  </w:style>
  <w:style w:type="paragraph" w:styleId="2">
    <w:name w:val="heading 2"/>
    <w:basedOn w:val="a1"/>
    <w:next w:val="a1"/>
    <w:link w:val="20"/>
    <w:uiPriority w:val="9"/>
    <w:unhideWhenUsed/>
    <w:qFormat/>
    <w:rsid w:val="00645CFB"/>
    <w:pPr>
      <w:keepNext/>
      <w:keepLines/>
      <w:numPr>
        <w:ilvl w:val="1"/>
        <w:numId w:val="1"/>
      </w:numPr>
      <w:spacing w:line="240" w:lineRule="auto"/>
      <w:ind w:left="0"/>
      <w:outlineLvl w:val="1"/>
    </w:pPr>
    <w:rPr>
      <w:rFonts w:eastAsia="Times New Roman" w:cs="Times New Roman"/>
      <w:b/>
      <w:bCs/>
      <w:szCs w:val="26"/>
    </w:rPr>
  </w:style>
  <w:style w:type="paragraph" w:styleId="3">
    <w:name w:val="heading 3"/>
    <w:basedOn w:val="a1"/>
    <w:next w:val="a1"/>
    <w:link w:val="30"/>
    <w:uiPriority w:val="9"/>
    <w:unhideWhenUsed/>
    <w:qFormat/>
    <w:rsid w:val="00645CFB"/>
    <w:pPr>
      <w:keepNext/>
      <w:keepLines/>
      <w:numPr>
        <w:ilvl w:val="2"/>
        <w:numId w:val="1"/>
      </w:numPr>
      <w:spacing w:line="240" w:lineRule="auto"/>
      <w:outlineLvl w:val="2"/>
    </w:pPr>
    <w:rPr>
      <w:rFonts w:eastAsia="Times New Roman" w:cs="Times New Roman"/>
      <w:bCs/>
      <w:i/>
      <w:szCs w:val="20"/>
    </w:rPr>
  </w:style>
  <w:style w:type="paragraph" w:styleId="4">
    <w:name w:val="heading 4"/>
    <w:basedOn w:val="a1"/>
    <w:next w:val="a1"/>
    <w:link w:val="40"/>
    <w:uiPriority w:val="9"/>
    <w:unhideWhenUsed/>
    <w:qFormat/>
    <w:rsid w:val="00075214"/>
    <w:pPr>
      <w:keepNext/>
      <w:keepLines/>
      <w:spacing w:line="240" w:lineRule="auto"/>
      <w:outlineLvl w:val="3"/>
    </w:pPr>
    <w:rPr>
      <w:rFonts w:eastAsiaTheme="majorEastAsia" w:cstheme="majorBidi"/>
      <w:bCs/>
      <w:i/>
      <w:iCs/>
    </w:rPr>
  </w:style>
  <w:style w:type="paragraph" w:styleId="5">
    <w:name w:val="heading 5"/>
    <w:basedOn w:val="a1"/>
    <w:next w:val="a1"/>
    <w:link w:val="50"/>
    <w:uiPriority w:val="9"/>
    <w:unhideWhenUsed/>
    <w:qFormat/>
    <w:rsid w:val="00075214"/>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1"/>
    <w:next w:val="a1"/>
    <w:link w:val="60"/>
    <w:uiPriority w:val="9"/>
    <w:semiHidden/>
    <w:unhideWhenUsed/>
    <w:qFormat/>
    <w:rsid w:val="00075214"/>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1"/>
    <w:next w:val="a1"/>
    <w:link w:val="70"/>
    <w:uiPriority w:val="9"/>
    <w:semiHidden/>
    <w:unhideWhenUsed/>
    <w:qFormat/>
    <w:rsid w:val="0007521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7521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07521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3A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unhideWhenUsed/>
    <w:rsid w:val="005059BE"/>
    <w:pPr>
      <w:tabs>
        <w:tab w:val="center" w:pos="4677"/>
        <w:tab w:val="right" w:pos="9355"/>
      </w:tabs>
      <w:spacing w:line="240" w:lineRule="auto"/>
    </w:pPr>
  </w:style>
  <w:style w:type="character" w:customStyle="1" w:styleId="a7">
    <w:name w:val="Верхний колонтитул Знак"/>
    <w:basedOn w:val="a2"/>
    <w:link w:val="a6"/>
    <w:uiPriority w:val="99"/>
    <w:rsid w:val="005059BE"/>
  </w:style>
  <w:style w:type="paragraph" w:styleId="a8">
    <w:name w:val="footer"/>
    <w:basedOn w:val="a1"/>
    <w:link w:val="a9"/>
    <w:uiPriority w:val="99"/>
    <w:unhideWhenUsed/>
    <w:rsid w:val="005059BE"/>
    <w:pPr>
      <w:tabs>
        <w:tab w:val="center" w:pos="4677"/>
        <w:tab w:val="right" w:pos="9355"/>
      </w:tabs>
      <w:spacing w:line="240" w:lineRule="auto"/>
    </w:pPr>
  </w:style>
  <w:style w:type="character" w:customStyle="1" w:styleId="a9">
    <w:name w:val="Нижний колонтитул Знак"/>
    <w:basedOn w:val="a2"/>
    <w:link w:val="a8"/>
    <w:uiPriority w:val="99"/>
    <w:rsid w:val="005059BE"/>
  </w:style>
  <w:style w:type="paragraph" w:styleId="aa">
    <w:name w:val="List Paragraph"/>
    <w:aliases w:val="Абзац с отступом,Абзац списка1"/>
    <w:basedOn w:val="a1"/>
    <w:link w:val="ab"/>
    <w:uiPriority w:val="34"/>
    <w:qFormat/>
    <w:rsid w:val="00026314"/>
    <w:pPr>
      <w:ind w:left="720"/>
      <w:contextualSpacing/>
    </w:pPr>
  </w:style>
  <w:style w:type="character" w:styleId="ac">
    <w:name w:val="Placeholder Text"/>
    <w:basedOn w:val="a2"/>
    <w:uiPriority w:val="99"/>
    <w:semiHidden/>
    <w:rsid w:val="00E32A7C"/>
    <w:rPr>
      <w:color w:val="808080"/>
    </w:rPr>
  </w:style>
  <w:style w:type="paragraph" w:styleId="ad">
    <w:name w:val="Balloon Text"/>
    <w:basedOn w:val="a1"/>
    <w:link w:val="ae"/>
    <w:uiPriority w:val="99"/>
    <w:semiHidden/>
    <w:unhideWhenUsed/>
    <w:rsid w:val="0098708F"/>
    <w:pPr>
      <w:spacing w:line="240" w:lineRule="auto"/>
    </w:pPr>
    <w:rPr>
      <w:rFonts w:ascii="Tahoma" w:hAnsi="Tahoma" w:cs="Tahoma"/>
      <w:sz w:val="16"/>
      <w:szCs w:val="16"/>
    </w:rPr>
  </w:style>
  <w:style w:type="character" w:customStyle="1" w:styleId="ae">
    <w:name w:val="Текст выноски Знак"/>
    <w:basedOn w:val="a2"/>
    <w:link w:val="ad"/>
    <w:uiPriority w:val="99"/>
    <w:semiHidden/>
    <w:rsid w:val="0098708F"/>
    <w:rPr>
      <w:rFonts w:ascii="Tahoma" w:hAnsi="Tahoma" w:cs="Tahoma"/>
      <w:sz w:val="16"/>
      <w:szCs w:val="16"/>
    </w:rPr>
  </w:style>
  <w:style w:type="character" w:customStyle="1" w:styleId="10">
    <w:name w:val="Заголовок 1 Знак"/>
    <w:basedOn w:val="a2"/>
    <w:link w:val="1"/>
    <w:uiPriority w:val="9"/>
    <w:rsid w:val="00645CFB"/>
    <w:rPr>
      <w:rFonts w:eastAsia="Times New Roman" w:cs="Times New Roman"/>
      <w:b/>
      <w:bCs/>
      <w:szCs w:val="28"/>
    </w:rPr>
  </w:style>
  <w:style w:type="character" w:customStyle="1" w:styleId="20">
    <w:name w:val="Заголовок 2 Знак"/>
    <w:basedOn w:val="a2"/>
    <w:link w:val="2"/>
    <w:uiPriority w:val="9"/>
    <w:rsid w:val="00645CFB"/>
    <w:rPr>
      <w:rFonts w:eastAsia="Times New Roman" w:cs="Times New Roman"/>
      <w:b/>
      <w:bCs/>
      <w:szCs w:val="26"/>
    </w:rPr>
  </w:style>
  <w:style w:type="character" w:customStyle="1" w:styleId="30">
    <w:name w:val="Заголовок 3 Знак"/>
    <w:basedOn w:val="a2"/>
    <w:link w:val="3"/>
    <w:uiPriority w:val="9"/>
    <w:rsid w:val="00645CFB"/>
    <w:rPr>
      <w:rFonts w:eastAsia="Times New Roman" w:cs="Times New Roman"/>
      <w:bCs/>
      <w:i/>
      <w:szCs w:val="20"/>
    </w:rPr>
  </w:style>
  <w:style w:type="numbering" w:customStyle="1" w:styleId="a">
    <w:name w:val="СтаДиО"/>
    <w:uiPriority w:val="99"/>
    <w:rsid w:val="00645CFB"/>
    <w:pPr>
      <w:numPr>
        <w:numId w:val="1"/>
      </w:numPr>
    </w:pPr>
  </w:style>
  <w:style w:type="paragraph" w:customStyle="1" w:styleId="a0">
    <w:name w:val="Нумерация а"/>
    <w:basedOn w:val="aa"/>
    <w:qFormat/>
    <w:rsid w:val="00B30169"/>
    <w:pPr>
      <w:numPr>
        <w:numId w:val="2"/>
      </w:numPr>
      <w:spacing w:line="360" w:lineRule="auto"/>
      <w:ind w:left="0"/>
    </w:pPr>
    <w:rPr>
      <w:sz w:val="28"/>
    </w:rPr>
  </w:style>
  <w:style w:type="table" w:customStyle="1" w:styleId="11">
    <w:name w:val="Сетка таблицы1"/>
    <w:basedOn w:val="a3"/>
    <w:next w:val="a5"/>
    <w:uiPriority w:val="39"/>
    <w:rsid w:val="005D45DC"/>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2"/>
    <w:link w:val="4"/>
    <w:uiPriority w:val="9"/>
    <w:rsid w:val="00075214"/>
    <w:rPr>
      <w:rFonts w:eastAsiaTheme="majorEastAsia" w:cstheme="majorBidi"/>
      <w:bCs/>
      <w:i/>
      <w:iCs/>
    </w:rPr>
  </w:style>
  <w:style w:type="character" w:customStyle="1" w:styleId="50">
    <w:name w:val="Заголовок 5 Знак"/>
    <w:basedOn w:val="a2"/>
    <w:link w:val="5"/>
    <w:uiPriority w:val="9"/>
    <w:rsid w:val="00075214"/>
    <w:rPr>
      <w:rFonts w:asciiTheme="majorHAnsi" w:eastAsiaTheme="majorEastAsia" w:hAnsiTheme="majorHAnsi" w:cstheme="majorBidi"/>
      <w:color w:val="1F4D78" w:themeColor="accent1" w:themeShade="7F"/>
    </w:rPr>
  </w:style>
  <w:style w:type="character" w:customStyle="1" w:styleId="60">
    <w:name w:val="Заголовок 6 Знак"/>
    <w:basedOn w:val="a2"/>
    <w:link w:val="6"/>
    <w:uiPriority w:val="9"/>
    <w:semiHidden/>
    <w:rsid w:val="00075214"/>
    <w:rPr>
      <w:rFonts w:asciiTheme="majorHAnsi" w:eastAsiaTheme="majorEastAsia" w:hAnsiTheme="majorHAnsi" w:cstheme="majorBidi"/>
      <w:i/>
      <w:iCs/>
      <w:color w:val="1F4D78" w:themeColor="accent1" w:themeShade="7F"/>
    </w:rPr>
  </w:style>
  <w:style w:type="character" w:customStyle="1" w:styleId="70">
    <w:name w:val="Заголовок 7 Знак"/>
    <w:basedOn w:val="a2"/>
    <w:link w:val="7"/>
    <w:uiPriority w:val="9"/>
    <w:semiHidden/>
    <w:rsid w:val="00075214"/>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075214"/>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075214"/>
    <w:rPr>
      <w:rFonts w:asciiTheme="majorHAnsi" w:eastAsiaTheme="majorEastAsia" w:hAnsiTheme="majorHAnsi" w:cstheme="majorBidi"/>
      <w:i/>
      <w:iCs/>
      <w:color w:val="404040" w:themeColor="text1" w:themeTint="BF"/>
      <w:sz w:val="20"/>
      <w:szCs w:val="20"/>
    </w:rPr>
  </w:style>
  <w:style w:type="paragraph" w:customStyle="1" w:styleId="af">
    <w:name w:val="Таблица: Текст по центру"/>
    <w:basedOn w:val="a1"/>
    <w:qFormat/>
    <w:rsid w:val="00075214"/>
    <w:pPr>
      <w:spacing w:line="240" w:lineRule="auto"/>
      <w:jc w:val="center"/>
    </w:pPr>
    <w:rPr>
      <w:sz w:val="20"/>
    </w:rPr>
  </w:style>
  <w:style w:type="paragraph" w:customStyle="1" w:styleId="af0">
    <w:name w:val="Таблица: Заголовок"/>
    <w:basedOn w:val="a1"/>
    <w:qFormat/>
    <w:rsid w:val="001301DD"/>
    <w:pPr>
      <w:spacing w:line="240" w:lineRule="auto"/>
      <w:jc w:val="center"/>
    </w:pPr>
    <w:rPr>
      <w:b/>
      <w:sz w:val="20"/>
    </w:rPr>
  </w:style>
  <w:style w:type="character" w:customStyle="1" w:styleId="ab">
    <w:name w:val="Абзац списка Знак"/>
    <w:aliases w:val="Абзац с отступом Знак,Абзац списка1 Знак"/>
    <w:basedOn w:val="a2"/>
    <w:link w:val="aa"/>
    <w:uiPriority w:val="34"/>
    <w:rsid w:val="00E85EEB"/>
  </w:style>
  <w:style w:type="paragraph" w:customStyle="1" w:styleId="Default">
    <w:name w:val="Default"/>
    <w:rsid w:val="00DC4DA1"/>
    <w:pPr>
      <w:autoSpaceDE w:val="0"/>
      <w:autoSpaceDN w:val="0"/>
      <w:adjustRightInd w:val="0"/>
      <w:spacing w:after="0" w:line="240" w:lineRule="auto"/>
    </w:pPr>
    <w:rPr>
      <w:rFonts w:cs="Times New Roman"/>
      <w:color w:val="000000"/>
      <w:szCs w:val="24"/>
    </w:rPr>
  </w:style>
  <w:style w:type="character" w:styleId="af1">
    <w:name w:val="Emphasis"/>
    <w:basedOn w:val="a2"/>
    <w:uiPriority w:val="20"/>
    <w:qFormat/>
    <w:rsid w:val="003063ED"/>
    <w:rPr>
      <w:i/>
      <w:iCs/>
    </w:rPr>
  </w:style>
  <w:style w:type="character" w:styleId="af2">
    <w:name w:val="page number"/>
    <w:basedOn w:val="a2"/>
    <w:uiPriority w:val="99"/>
    <w:rsid w:val="002D6761"/>
  </w:style>
  <w:style w:type="character" w:styleId="af3">
    <w:name w:val="Hyperlink"/>
    <w:uiPriority w:val="99"/>
    <w:rsid w:val="002D6761"/>
    <w:rPr>
      <w:color w:val="0000FF"/>
      <w:u w:val="single"/>
    </w:rPr>
  </w:style>
  <w:style w:type="paragraph" w:styleId="af4">
    <w:name w:val="TOC Heading"/>
    <w:basedOn w:val="1"/>
    <w:next w:val="a1"/>
    <w:uiPriority w:val="39"/>
    <w:unhideWhenUsed/>
    <w:qFormat/>
    <w:rsid w:val="006430EB"/>
    <w:pPr>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2">
    <w:name w:val="toc 1"/>
    <w:basedOn w:val="a1"/>
    <w:next w:val="a1"/>
    <w:autoRedefine/>
    <w:uiPriority w:val="39"/>
    <w:unhideWhenUsed/>
    <w:rsid w:val="001E54A9"/>
    <w:pPr>
      <w:tabs>
        <w:tab w:val="right" w:leader="dot" w:pos="9345"/>
      </w:tabs>
      <w:spacing w:after="100"/>
    </w:pPr>
    <w:rPr>
      <w:b/>
      <w:noProof/>
    </w:rPr>
  </w:style>
  <w:style w:type="paragraph" w:styleId="21">
    <w:name w:val="toc 2"/>
    <w:basedOn w:val="a1"/>
    <w:next w:val="a1"/>
    <w:autoRedefine/>
    <w:uiPriority w:val="39"/>
    <w:unhideWhenUsed/>
    <w:rsid w:val="006430EB"/>
    <w:pPr>
      <w:spacing w:after="100"/>
      <w:ind w:left="240"/>
    </w:pPr>
  </w:style>
  <w:style w:type="paragraph" w:styleId="31">
    <w:name w:val="toc 3"/>
    <w:basedOn w:val="a1"/>
    <w:next w:val="a1"/>
    <w:autoRedefine/>
    <w:uiPriority w:val="39"/>
    <w:unhideWhenUsed/>
    <w:rsid w:val="006430EB"/>
    <w:pPr>
      <w:spacing w:after="100"/>
      <w:ind w:left="440"/>
    </w:pPr>
    <w:rPr>
      <w:rFonts w:asciiTheme="minorHAnsi" w:eastAsiaTheme="minorEastAsia" w:hAnsiTheme="minorHAnsi" w:cs="Times New Roman"/>
      <w:sz w:val="22"/>
      <w:lang w:eastAsia="ru-RU"/>
    </w:rPr>
  </w:style>
  <w:style w:type="paragraph" w:styleId="af5">
    <w:name w:val="No Spacing"/>
    <w:uiPriority w:val="99"/>
    <w:qFormat/>
    <w:rsid w:val="00D23CED"/>
    <w:pPr>
      <w:spacing w:after="0" w:line="240" w:lineRule="auto"/>
    </w:pPr>
    <w:rPr>
      <w:rFonts w:ascii="Calibri" w:eastAsia="Times New Roman" w:hAnsi="Calibri" w:cs="Calibri"/>
      <w:sz w:val="22"/>
      <w:lang w:eastAsia="ru-RU"/>
    </w:rPr>
  </w:style>
  <w:style w:type="paragraph" w:styleId="af6">
    <w:name w:val="Body Text"/>
    <w:basedOn w:val="a1"/>
    <w:link w:val="af7"/>
    <w:uiPriority w:val="99"/>
    <w:rsid w:val="00B572F6"/>
    <w:pPr>
      <w:spacing w:after="120" w:line="240" w:lineRule="auto"/>
    </w:pPr>
    <w:rPr>
      <w:rFonts w:eastAsia="Times New Roman" w:cs="Times New Roman"/>
      <w:szCs w:val="24"/>
      <w:lang w:eastAsia="ru-RU"/>
    </w:rPr>
  </w:style>
  <w:style w:type="character" w:customStyle="1" w:styleId="af7">
    <w:name w:val="Основной текст Знак"/>
    <w:basedOn w:val="a2"/>
    <w:link w:val="af6"/>
    <w:uiPriority w:val="99"/>
    <w:rsid w:val="00B572F6"/>
    <w:rPr>
      <w:rFonts w:eastAsia="Times New Roman" w:cs="Times New Roman"/>
      <w:szCs w:val="24"/>
      <w:lang w:eastAsia="ru-RU"/>
    </w:rPr>
  </w:style>
  <w:style w:type="paragraph" w:styleId="32">
    <w:name w:val="Body Text Indent 3"/>
    <w:basedOn w:val="a1"/>
    <w:link w:val="33"/>
    <w:uiPriority w:val="99"/>
    <w:semiHidden/>
    <w:unhideWhenUsed/>
    <w:rsid w:val="00DF187B"/>
    <w:pPr>
      <w:spacing w:after="120"/>
      <w:ind w:left="283"/>
    </w:pPr>
    <w:rPr>
      <w:sz w:val="16"/>
      <w:szCs w:val="16"/>
    </w:rPr>
  </w:style>
  <w:style w:type="character" w:customStyle="1" w:styleId="33">
    <w:name w:val="Основной текст с отступом 3 Знак"/>
    <w:basedOn w:val="a2"/>
    <w:link w:val="32"/>
    <w:uiPriority w:val="99"/>
    <w:semiHidden/>
    <w:rsid w:val="00DF187B"/>
    <w:rPr>
      <w:sz w:val="16"/>
      <w:szCs w:val="16"/>
    </w:rPr>
  </w:style>
  <w:style w:type="paragraph" w:customStyle="1" w:styleId="TitHkol">
    <w:name w:val="Tit_H_kol"/>
    <w:basedOn w:val="a8"/>
    <w:uiPriority w:val="99"/>
    <w:rsid w:val="004F6688"/>
    <w:pPr>
      <w:tabs>
        <w:tab w:val="clear" w:pos="4677"/>
        <w:tab w:val="clear" w:pos="9355"/>
        <w:tab w:val="center" w:pos="4153"/>
        <w:tab w:val="right" w:pos="8306"/>
      </w:tabs>
      <w:autoSpaceDE w:val="0"/>
      <w:autoSpaceDN w:val="0"/>
      <w:jc w:val="center"/>
    </w:pPr>
    <w:rPr>
      <w:rFonts w:eastAsia="Times New Roman" w:cs="Times New Roman"/>
      <w:spacing w:val="-3"/>
      <w:szCs w:val="24"/>
      <w:lang w:eastAsia="ru-RU"/>
    </w:rPr>
  </w:style>
  <w:style w:type="paragraph" w:styleId="af8">
    <w:name w:val="caption"/>
    <w:basedOn w:val="a1"/>
    <w:next w:val="a1"/>
    <w:uiPriority w:val="35"/>
    <w:unhideWhenUsed/>
    <w:qFormat/>
    <w:rsid w:val="00927D81"/>
    <w:pPr>
      <w:suppressAutoHyphens/>
      <w:ind w:firstLine="0"/>
      <w:jc w:val="center"/>
    </w:pPr>
    <w:rPr>
      <w:bCs/>
      <w:i/>
      <w:szCs w:val="18"/>
    </w:rPr>
  </w:style>
  <w:style w:type="paragraph" w:styleId="af9">
    <w:name w:val="Title"/>
    <w:basedOn w:val="a1"/>
    <w:next w:val="a1"/>
    <w:link w:val="afa"/>
    <w:uiPriority w:val="10"/>
    <w:qFormat/>
    <w:rsid w:val="00783ECC"/>
    <w:pPr>
      <w:spacing w:after="300"/>
      <w:contextualSpacing/>
      <w:jc w:val="center"/>
    </w:pPr>
    <w:rPr>
      <w:rFonts w:eastAsiaTheme="majorEastAsia" w:cstheme="majorBidi"/>
      <w:b/>
      <w:caps/>
      <w:spacing w:val="5"/>
      <w:kern w:val="28"/>
      <w:sz w:val="28"/>
      <w:szCs w:val="52"/>
    </w:rPr>
  </w:style>
  <w:style w:type="character" w:customStyle="1" w:styleId="afa">
    <w:name w:val="Заголовок Знак"/>
    <w:basedOn w:val="a2"/>
    <w:link w:val="af9"/>
    <w:uiPriority w:val="10"/>
    <w:rsid w:val="00783ECC"/>
    <w:rPr>
      <w:rFonts w:eastAsiaTheme="majorEastAsia" w:cstheme="majorBidi"/>
      <w:b/>
      <w:caps/>
      <w:spacing w:val="5"/>
      <w:kern w:val="28"/>
      <w:sz w:val="28"/>
      <w:szCs w:val="52"/>
    </w:rPr>
  </w:style>
  <w:style w:type="paragraph" w:customStyle="1" w:styleId="afb">
    <w:name w:val="Рисунки"/>
    <w:basedOn w:val="a1"/>
    <w:qFormat/>
    <w:rsid w:val="00927D81"/>
    <w:pPr>
      <w:ind w:firstLine="0"/>
      <w:jc w:val="center"/>
    </w:pPr>
    <w:rPr>
      <w:noProof/>
      <w:lang w:eastAsia="ru-RU"/>
    </w:rPr>
  </w:style>
  <w:style w:type="paragraph" w:customStyle="1" w:styleId="-">
    <w:name w:val="Таблица - заголовок"/>
    <w:basedOn w:val="a1"/>
    <w:qFormat/>
    <w:rsid w:val="00927D81"/>
    <w:pPr>
      <w:ind w:firstLine="0"/>
      <w:jc w:val="center"/>
    </w:pPr>
    <w:rPr>
      <w:b/>
      <w:sz w:val="20"/>
    </w:rPr>
  </w:style>
  <w:style w:type="paragraph" w:customStyle="1" w:styleId="--">
    <w:name w:val="Таблица - текст - центр"/>
    <w:basedOn w:val="-"/>
    <w:qFormat/>
    <w:rsid w:val="00927D81"/>
    <w:rPr>
      <w:b w:val="0"/>
    </w:rPr>
  </w:style>
  <w:style w:type="paragraph" w:customStyle="1" w:styleId="-0">
    <w:name w:val="Таблица - текст"/>
    <w:basedOn w:val="--"/>
    <w:qFormat/>
    <w:rsid w:val="00783ECC"/>
    <w:pPr>
      <w:jc w:val="left"/>
    </w:pPr>
  </w:style>
  <w:style w:type="paragraph" w:customStyle="1" w:styleId="afc">
    <w:name w:val="Нумерованный список литературы"/>
    <w:basedOn w:val="af6"/>
    <w:qFormat/>
    <w:rsid w:val="00783ECC"/>
    <w:pPr>
      <w:spacing w:after="0" w:line="276" w:lineRule="auto"/>
      <w:ind w:left="709" w:hanging="709"/>
    </w:pPr>
    <w:rPr>
      <w:rFonts w:eastAsia="NSimSun" w:cs="Arial Unicode MS"/>
      <w:kern w:val="2"/>
      <w:lang w:eastAsia="zh-CN" w:bidi="hi-IN"/>
    </w:rPr>
  </w:style>
  <w:style w:type="paragraph" w:customStyle="1" w:styleId="13">
    <w:name w:val="Без интервала1"/>
    <w:basedOn w:val="a1"/>
    <w:uiPriority w:val="99"/>
    <w:rsid w:val="00783ECC"/>
    <w:pPr>
      <w:spacing w:line="240" w:lineRule="auto"/>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7499">
      <w:bodyDiv w:val="1"/>
      <w:marLeft w:val="0"/>
      <w:marRight w:val="0"/>
      <w:marTop w:val="0"/>
      <w:marBottom w:val="0"/>
      <w:divBdr>
        <w:top w:val="none" w:sz="0" w:space="0" w:color="auto"/>
        <w:left w:val="none" w:sz="0" w:space="0" w:color="auto"/>
        <w:bottom w:val="none" w:sz="0" w:space="0" w:color="auto"/>
        <w:right w:val="none" w:sz="0" w:space="0" w:color="auto"/>
      </w:divBdr>
    </w:div>
    <w:div w:id="364017930">
      <w:bodyDiv w:val="1"/>
      <w:marLeft w:val="0"/>
      <w:marRight w:val="0"/>
      <w:marTop w:val="0"/>
      <w:marBottom w:val="0"/>
      <w:divBdr>
        <w:top w:val="none" w:sz="0" w:space="0" w:color="auto"/>
        <w:left w:val="none" w:sz="0" w:space="0" w:color="auto"/>
        <w:bottom w:val="none" w:sz="0" w:space="0" w:color="auto"/>
        <w:right w:val="none" w:sz="0" w:space="0" w:color="auto"/>
      </w:divBdr>
    </w:div>
    <w:div w:id="626663918">
      <w:bodyDiv w:val="1"/>
      <w:marLeft w:val="0"/>
      <w:marRight w:val="0"/>
      <w:marTop w:val="0"/>
      <w:marBottom w:val="0"/>
      <w:divBdr>
        <w:top w:val="none" w:sz="0" w:space="0" w:color="auto"/>
        <w:left w:val="none" w:sz="0" w:space="0" w:color="auto"/>
        <w:bottom w:val="none" w:sz="0" w:space="0" w:color="auto"/>
        <w:right w:val="none" w:sz="0" w:space="0" w:color="auto"/>
      </w:divBdr>
    </w:div>
    <w:div w:id="1027683287">
      <w:bodyDiv w:val="1"/>
      <w:marLeft w:val="0"/>
      <w:marRight w:val="0"/>
      <w:marTop w:val="0"/>
      <w:marBottom w:val="0"/>
      <w:divBdr>
        <w:top w:val="none" w:sz="0" w:space="0" w:color="auto"/>
        <w:left w:val="none" w:sz="0" w:space="0" w:color="auto"/>
        <w:bottom w:val="none" w:sz="0" w:space="0" w:color="auto"/>
        <w:right w:val="none" w:sz="0" w:space="0" w:color="auto"/>
      </w:divBdr>
    </w:div>
    <w:div w:id="1054112759">
      <w:bodyDiv w:val="1"/>
      <w:marLeft w:val="0"/>
      <w:marRight w:val="0"/>
      <w:marTop w:val="0"/>
      <w:marBottom w:val="0"/>
      <w:divBdr>
        <w:top w:val="none" w:sz="0" w:space="0" w:color="auto"/>
        <w:left w:val="none" w:sz="0" w:space="0" w:color="auto"/>
        <w:bottom w:val="none" w:sz="0" w:space="0" w:color="auto"/>
        <w:right w:val="none" w:sz="0" w:space="0" w:color="auto"/>
      </w:divBdr>
    </w:div>
    <w:div w:id="1085492117">
      <w:bodyDiv w:val="1"/>
      <w:marLeft w:val="0"/>
      <w:marRight w:val="0"/>
      <w:marTop w:val="0"/>
      <w:marBottom w:val="0"/>
      <w:divBdr>
        <w:top w:val="none" w:sz="0" w:space="0" w:color="auto"/>
        <w:left w:val="none" w:sz="0" w:space="0" w:color="auto"/>
        <w:bottom w:val="none" w:sz="0" w:space="0" w:color="auto"/>
        <w:right w:val="none" w:sz="0" w:space="0" w:color="auto"/>
      </w:divBdr>
    </w:div>
    <w:div w:id="1105033741">
      <w:bodyDiv w:val="1"/>
      <w:marLeft w:val="0"/>
      <w:marRight w:val="0"/>
      <w:marTop w:val="0"/>
      <w:marBottom w:val="0"/>
      <w:divBdr>
        <w:top w:val="none" w:sz="0" w:space="0" w:color="auto"/>
        <w:left w:val="none" w:sz="0" w:space="0" w:color="auto"/>
        <w:bottom w:val="none" w:sz="0" w:space="0" w:color="auto"/>
        <w:right w:val="none" w:sz="0" w:space="0" w:color="auto"/>
      </w:divBdr>
    </w:div>
    <w:div w:id="1107238573">
      <w:bodyDiv w:val="1"/>
      <w:marLeft w:val="0"/>
      <w:marRight w:val="0"/>
      <w:marTop w:val="0"/>
      <w:marBottom w:val="0"/>
      <w:divBdr>
        <w:top w:val="none" w:sz="0" w:space="0" w:color="auto"/>
        <w:left w:val="none" w:sz="0" w:space="0" w:color="auto"/>
        <w:bottom w:val="none" w:sz="0" w:space="0" w:color="auto"/>
        <w:right w:val="none" w:sz="0" w:space="0" w:color="auto"/>
      </w:divBdr>
    </w:div>
    <w:div w:id="1210342700">
      <w:bodyDiv w:val="1"/>
      <w:marLeft w:val="0"/>
      <w:marRight w:val="0"/>
      <w:marTop w:val="0"/>
      <w:marBottom w:val="0"/>
      <w:divBdr>
        <w:top w:val="none" w:sz="0" w:space="0" w:color="auto"/>
        <w:left w:val="none" w:sz="0" w:space="0" w:color="auto"/>
        <w:bottom w:val="none" w:sz="0" w:space="0" w:color="auto"/>
        <w:right w:val="none" w:sz="0" w:space="0" w:color="auto"/>
      </w:divBdr>
    </w:div>
    <w:div w:id="1356923966">
      <w:bodyDiv w:val="1"/>
      <w:marLeft w:val="0"/>
      <w:marRight w:val="0"/>
      <w:marTop w:val="0"/>
      <w:marBottom w:val="0"/>
      <w:divBdr>
        <w:top w:val="none" w:sz="0" w:space="0" w:color="auto"/>
        <w:left w:val="none" w:sz="0" w:space="0" w:color="auto"/>
        <w:bottom w:val="none" w:sz="0" w:space="0" w:color="auto"/>
        <w:right w:val="none" w:sz="0" w:space="0" w:color="auto"/>
      </w:divBdr>
    </w:div>
    <w:div w:id="1415857679">
      <w:bodyDiv w:val="1"/>
      <w:marLeft w:val="0"/>
      <w:marRight w:val="0"/>
      <w:marTop w:val="0"/>
      <w:marBottom w:val="0"/>
      <w:divBdr>
        <w:top w:val="none" w:sz="0" w:space="0" w:color="auto"/>
        <w:left w:val="none" w:sz="0" w:space="0" w:color="auto"/>
        <w:bottom w:val="none" w:sz="0" w:space="0" w:color="auto"/>
        <w:right w:val="none" w:sz="0" w:space="0" w:color="auto"/>
      </w:divBdr>
    </w:div>
    <w:div w:id="1454252822">
      <w:bodyDiv w:val="1"/>
      <w:marLeft w:val="0"/>
      <w:marRight w:val="0"/>
      <w:marTop w:val="0"/>
      <w:marBottom w:val="0"/>
      <w:divBdr>
        <w:top w:val="none" w:sz="0" w:space="0" w:color="auto"/>
        <w:left w:val="none" w:sz="0" w:space="0" w:color="auto"/>
        <w:bottom w:val="none" w:sz="0" w:space="0" w:color="auto"/>
        <w:right w:val="none" w:sz="0" w:space="0" w:color="auto"/>
      </w:divBdr>
    </w:div>
    <w:div w:id="1530266369">
      <w:bodyDiv w:val="1"/>
      <w:marLeft w:val="0"/>
      <w:marRight w:val="0"/>
      <w:marTop w:val="0"/>
      <w:marBottom w:val="0"/>
      <w:divBdr>
        <w:top w:val="none" w:sz="0" w:space="0" w:color="auto"/>
        <w:left w:val="none" w:sz="0" w:space="0" w:color="auto"/>
        <w:bottom w:val="none" w:sz="0" w:space="0" w:color="auto"/>
        <w:right w:val="none" w:sz="0" w:space="0" w:color="auto"/>
      </w:divBdr>
    </w:div>
    <w:div w:id="1565212330">
      <w:bodyDiv w:val="1"/>
      <w:marLeft w:val="0"/>
      <w:marRight w:val="0"/>
      <w:marTop w:val="0"/>
      <w:marBottom w:val="0"/>
      <w:divBdr>
        <w:top w:val="none" w:sz="0" w:space="0" w:color="auto"/>
        <w:left w:val="none" w:sz="0" w:space="0" w:color="auto"/>
        <w:bottom w:val="none" w:sz="0" w:space="0" w:color="auto"/>
        <w:right w:val="none" w:sz="0" w:space="0" w:color="auto"/>
      </w:divBdr>
    </w:div>
    <w:div w:id="1649704941">
      <w:bodyDiv w:val="1"/>
      <w:marLeft w:val="0"/>
      <w:marRight w:val="0"/>
      <w:marTop w:val="0"/>
      <w:marBottom w:val="0"/>
      <w:divBdr>
        <w:top w:val="none" w:sz="0" w:space="0" w:color="auto"/>
        <w:left w:val="none" w:sz="0" w:space="0" w:color="auto"/>
        <w:bottom w:val="none" w:sz="0" w:space="0" w:color="auto"/>
        <w:right w:val="none" w:sz="0" w:space="0" w:color="auto"/>
      </w:divBdr>
    </w:div>
    <w:div w:id="1894149489">
      <w:bodyDiv w:val="1"/>
      <w:marLeft w:val="0"/>
      <w:marRight w:val="0"/>
      <w:marTop w:val="0"/>
      <w:marBottom w:val="0"/>
      <w:divBdr>
        <w:top w:val="none" w:sz="0" w:space="0" w:color="auto"/>
        <w:left w:val="none" w:sz="0" w:space="0" w:color="auto"/>
        <w:bottom w:val="none" w:sz="0" w:space="0" w:color="auto"/>
        <w:right w:val="none" w:sz="0" w:space="0" w:color="auto"/>
      </w:divBdr>
    </w:div>
    <w:div w:id="1915043339">
      <w:bodyDiv w:val="1"/>
      <w:marLeft w:val="0"/>
      <w:marRight w:val="0"/>
      <w:marTop w:val="0"/>
      <w:marBottom w:val="0"/>
      <w:divBdr>
        <w:top w:val="none" w:sz="0" w:space="0" w:color="auto"/>
        <w:left w:val="none" w:sz="0" w:space="0" w:color="auto"/>
        <w:bottom w:val="none" w:sz="0" w:space="0" w:color="auto"/>
        <w:right w:val="none" w:sz="0" w:space="0" w:color="auto"/>
      </w:divBdr>
    </w:div>
    <w:div w:id="1975519290">
      <w:bodyDiv w:val="1"/>
      <w:marLeft w:val="0"/>
      <w:marRight w:val="0"/>
      <w:marTop w:val="0"/>
      <w:marBottom w:val="0"/>
      <w:divBdr>
        <w:top w:val="none" w:sz="0" w:space="0" w:color="auto"/>
        <w:left w:val="none" w:sz="0" w:space="0" w:color="auto"/>
        <w:bottom w:val="none" w:sz="0" w:space="0" w:color="auto"/>
        <w:right w:val="none" w:sz="0" w:space="0" w:color="auto"/>
      </w:divBdr>
    </w:div>
    <w:div w:id="2039967529">
      <w:bodyDiv w:val="1"/>
      <w:marLeft w:val="0"/>
      <w:marRight w:val="0"/>
      <w:marTop w:val="0"/>
      <w:marBottom w:val="0"/>
      <w:divBdr>
        <w:top w:val="none" w:sz="0" w:space="0" w:color="auto"/>
        <w:left w:val="none" w:sz="0" w:space="0" w:color="auto"/>
        <w:bottom w:val="none" w:sz="0" w:space="0" w:color="auto"/>
        <w:right w:val="none" w:sz="0" w:space="0" w:color="auto"/>
      </w:divBdr>
    </w:div>
    <w:div w:id="210923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dyo@stadyo.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1.xml"/><Relationship Id="rId10" Type="http://schemas.openxmlformats.org/officeDocument/2006/relationships/hyperlink" Target="mailto:stadyo@stadyo.ru" TargetMode="External"/><Relationship Id="rId19" Type="http://schemas.openxmlformats.org/officeDocument/2006/relationships/image" Target="media/image8.w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emf"/><Relationship Id="rId22"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26807-9409-4A34-BD91-B5721730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8312</TotalTime>
  <Pages>10</Pages>
  <Words>2177</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BBC</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2021-01-18T12:25:00Z</cp:lastPrinted>
  <dcterms:created xsi:type="dcterms:W3CDTF">2021-06-12T12:16:00Z</dcterms:created>
  <dcterms:modified xsi:type="dcterms:W3CDTF">2021-07-17T13:44:00Z</dcterms:modified>
</cp:coreProperties>
</file>